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300c" w14:textId="3c63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256. Зарегистрировано в Министерстве юстиции Республики Казахстан 19 января 2018 года № 16255.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(зарегистрированное в Реестре государственной регистрации нормативных правовых актов под № 13939, опубликованное 22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для исламских банков,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Открытая валютная позиция - это превышение требований (обязательств) банка в валюте отдельного иностранного государства (группы иностранных государств) или аффинированном драгоценном металле над обязательствами (требованиями) банка в той же иностранной валюте или аффинированном драгоценном металле.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Длинная валютная позиция - это открытая валютная позиция в валюте отдельного иностранного государства (группы иностранных государств) или аффинированном драгоценном металле,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банка в этой же иностранной валюте или аффинированном драгоценном металле.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Короткая валютная позиция - это открытая валютная позиция в валюте отдельного иностранного государства (группы иностранных государств) или аффинированном драгоценном металле, обязательства (совокупная сумма обязательств и условных обязательств) в которой превышают требования (совокупную сумму активов и условных требований) банка в этой же иностранной валюте или аффинированном драгоценном металле.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валютных позиций включаются требования (совокупная сумма активов и условных требований), обязательства (совокупная сумма обязательств и условных обязательств), выраженные в тенге, размер которых определяется изменением обменного курса валют (стоимости аффинированных драгоценных металлов).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(совокупная сумма активов, условных и возможных требований), обязательства (совокупная сумма обязательств, условных и возможных обязательств), выраженные в тенге, размер которых определяется изменением обменного курса более чем одной иностранной валюты, включаются в расчет валютных позиций по иностранной валюте, имеющей наименьший лимит открытой валютной позиции,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иностранной валюте и по каждому аффинированному драгоценному металлу открытая валютная позиция рассчитывается отдельно.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открытых валютных позиций по валютам отдельных иностранных государств (групп иностранных государств) (аффинированным драгоценным металлам) в первую очередь рассчитывается сальдо счетов по каждой иностранной валюте (аффинированному драгоценному металлу), открытых на счетах активов, за вычетом резервов, сформированных в соответствии с МСФО, и на счетах обязательств банка.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определяется сальдо счетов по этой же иностранной валюте (аффинированному драгоценному металлу), открытых на счетах условных требований и на счетах условных обязательств, за вычетом сформированных в соответствии с МСФО резервов.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Сальдо, отражающее превышение требований (обязательств) в иностранной валюте (аффинированном драгоценном металле) над обязательствами (требованиями), взаимно суммируется, а полученный результат определяет размер и вид открытой позиции банка по иностранной валюте (аффинированному драгоценному металлу).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Открытая длинная и (или) короткая позиция банка по производным финансовым инструментам в валюте отдельного иностранного государства (группы иностранных государств), открытых на счетах условных требований и на счетах условных обязательств, не превышают 30 (тридцати) процентов размера собственного капитала банка.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открытой длинной и (или) короткой позиции банка в перечень производных финансовых инструментов не включаются спот сделки заключенные банками.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открытой длинной и (или) короткой позиции банка по производным финансовым инструментам не включаются сделки с производными финансовыми инструментами, контрагентом по которым является Национальный Банк Республики Казахстан, обменные операции с валютными инструментами с датой валютирования 2 (два) дня и менее, операции валютный своп с датой валютирования 2 (два) дня и менее, производные финансовые инструменты, базовым активом которых является валютная пара, не содержащая национальную валюту.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Валютная нетто-позиция банка рассчитывается как разница между совокупной суммой длинных позиций банка по всем иностранным валютам (аффинированным драгоценным металлам) и совокупной суммой коротких позиций по всем иностранным валютам (аффинированным драгоценным металлам).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обязательства, выраженные в иностранной валюте, включаются в расчет валютной позиции в части иностранных валют, в которых данные требования и обязательства выражены (фиксированы).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валютных операций, содержащих будущую дату валютирования, не являющуюся датой заключения сделки, подобные валютные операции включаются в расчет валютной позиции, начиная с даты заключения такой сделки.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Сравнение сроков активов и обязательств производится в соответствии с Таблицей сравнения сроков активов и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Сравнение сроков активов и обязательств в иностранной и национальной валютах производится в соответствии с Таблицей сравнения сроков активов и обязательств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Таблице сравнения сроков активов и обязательств в национальной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соответственно.";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 (далее - постановление № 203);";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203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обязательства перед нерезидентами Республики Казахстан, являющимися международными организациями, членом которых является Республика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Инвестиций", а также Евразийским банком развития;";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203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перед нерезидентами Республики Казахстан, являющимися международными организациями, членом которых является Республика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Инвестиций", а также Евразийским банком развития;".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 2018 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