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6290" w14:textId="828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Постановлениен акимата Акмолинской области от 12 сентября 2017 года № А-10/388. Зарегистрировано Департаментом юстиции Акмолинской области 6 октября 2017 года № 6105.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А-10/388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А-6/254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 - 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за № 11284) (далее -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уведомления. Данное уведомление становится доступным в личном кабинете перерабатывающего предприятия в информационной системе субсидирования в случае самостоятельной регистрации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 – 30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уведомления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уведомления либо мотивированного отказа.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перерабатывающего предприятия в информационной системе субсидирования в случае самостоятельной регистрации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 – 30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