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900a1" w14:textId="cf900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2018-2020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Атбасарского районного маслихата Акмолинской области от 22 декабря 2017 года № 6С 15/2. Зарегистрировано Департаментом юстиции Акмолинской области 3 января 2018 года № 6270.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Атбасарский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5 644 344,6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1 066 992,0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7 885,4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75 499,8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4 493 967,4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5 660 167,3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6 543,4 тысячи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10 523,0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3 979,6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-10 000,0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10 000,0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-12 366,1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12 366,1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10 523,0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3 979,6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5 822,7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Атбасарского районного маслихата Акмолинской области от 28.11.2018 </w:t>
      </w:r>
      <w:r>
        <w:rPr>
          <w:rFonts w:ascii="Times New Roman"/>
          <w:b w:val="false"/>
          <w:i w:val="false"/>
          <w:color w:val="000000"/>
          <w:sz w:val="28"/>
        </w:rPr>
        <w:t>№ 6С 25/2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районном бюджете на 2018 год предусмотрен объем бюджетных изъятий из бюджета города Атбасар в районный бюджет в сумме 183 534 тысячи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районном бюджете на 2018 год предусмотрен объем бюджетной субвенции, передаваемый из областного бюджета в районный бюджет в сумме 2 273 379 тысяч тенге.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районном бюджете на 2018 год предусмотрен объем бюджетной субвенции, передаваемый из районного бюджета в бюджет Мариновского сельского округа в сумме 7 117 тысяч тенге.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резерв местного исполнительного органа района на 2018 год в сумме 3 193,3 тысячи тенге.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Атбасарского районного маслихата Акмолинской области от 19.10.2018 </w:t>
      </w:r>
      <w:r>
        <w:rPr>
          <w:rFonts w:ascii="Times New Roman"/>
          <w:b w:val="false"/>
          <w:i w:val="false"/>
          <w:color w:val="000000"/>
          <w:sz w:val="28"/>
        </w:rPr>
        <w:t>№ 6С 24/2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бюджетные программы сел и сельских округов,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Учесть, что в районном бюджете на 2018 год предусмотрены целевые трансферты и бюджетные кредиты из республиканского бюджета,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и бюджетных кредитов определяется постановлением акимата района.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Учесть, что в районном бюджете на 2018 год предусмотрены целевые трансферты из областного бюджета,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определяется постановлением акимата района.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Учесть, что в районном бюджете на 2018 год предусмотрено распределение трансфертов органам местного самоуправления между селами и сельскими округами,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перечень бюджетных программ, не подлежащих секвестру в процессе исполнения районного бюджета на 2018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Учесть, что в районном бюджете на 2018 год предусмотрено погашение основного долга по бюджетным кредитам, выделенным в 2010-2017 годах для реализации мер социальной поддержки специалистов в сумме 3 979,6 тысяч тенге.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решения Атбасарского районного маслихата Акмолинской области от 11.04.2018 </w:t>
      </w:r>
      <w:r>
        <w:rPr>
          <w:rFonts w:ascii="Times New Roman"/>
          <w:b w:val="false"/>
          <w:i w:val="false"/>
          <w:color w:val="000000"/>
          <w:sz w:val="28"/>
        </w:rPr>
        <w:t>№ 6С 19/3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Учесть, что в районном бюджете на 2018 год предусмотрено вознаграждение по бюджетным кредитам, выделенным из республиканского бюджета на проведение ремонта общего имущества кондоминиума в сумме 32 тысячи тенге.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Учесть, что в районном бюджете на 2018 год предусмотрено вознаграждение по бюджетным кредитам, выделенным из республиканского бюджета для реализации мер социальной поддержки специалистов в сумме 5,2 тысяч тенге.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решения Атбасарского районного маслихата Акмолинской области от 28.11.2018 </w:t>
      </w:r>
      <w:r>
        <w:rPr>
          <w:rFonts w:ascii="Times New Roman"/>
          <w:b w:val="false"/>
          <w:i w:val="false"/>
          <w:color w:val="000000"/>
          <w:sz w:val="28"/>
        </w:rPr>
        <w:t>№ 6С 25/2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Установить специалистам в области социального обеспечения, образования и культуры, являющимся гражданскими служащими и работающим в сельской местности, повышенные на двадцать пять процентов должностные оклады и тарифные ставки, по сравнению с окладами и ставками гражданских служащих, занимающихся этими видами деятельности в городских условиях.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Настоящее решение вступает в силу со дня государственной регистрации в Департаменте юстиции Акмолинской области и вводится в действие с 1 января 2018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Садвокасов М.Н.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Атбасарского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Борумбаев Б.А.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Атбасарского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А.А.Калжанов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 декабря 2017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Атбасарского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 15/2</w:t>
            </w:r>
          </w:p>
        </w:tc>
      </w:tr>
    </w:tbl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Атбасарского районного маслихата Акмолинской области от 28.11.2018 </w:t>
      </w:r>
      <w:r>
        <w:rPr>
          <w:rFonts w:ascii="Times New Roman"/>
          <w:b w:val="false"/>
          <w:i w:val="false"/>
          <w:color w:val="ff0000"/>
          <w:sz w:val="28"/>
        </w:rPr>
        <w:t>№ 6С 25/2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1192"/>
        <w:gridCol w:w="768"/>
        <w:gridCol w:w="5181"/>
        <w:gridCol w:w="439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5 644 344,6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1 066 992,0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532 442,0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532 442,0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405 472,9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365 883,4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26 148,0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2 891,5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108 385,1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67 840,0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33 440,6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7 885,4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5 140,3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5 038,7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2 743,9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2 743,9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75 499,8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21 562,6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21 562,6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53 937,2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53 847,0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4 493967,4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183 534,0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183 534,0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4 310 433,4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4 310 433,4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1"/>
        <w:gridCol w:w="1224"/>
        <w:gridCol w:w="1224"/>
        <w:gridCol w:w="5631"/>
        <w:gridCol w:w="33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группа</w:t>
            </w:r>
          </w:p>
        </w:tc>
        <w:tc>
          <w:tcPr>
            <w:tcW w:w="3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тысячи тенге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5 660 167,3</w:t>
            </w:r>
          </w:p>
        </w:tc>
      </w:tr>
      <w:tr>
        <w:trPr>
          <w:trHeight w:val="30" w:hRule="atLeast"/>
        </w:trPr>
        <w:tc>
          <w:tcPr>
            <w:tcW w:w="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309 937,8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93 643,2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93 643,2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117 496,0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117 496,0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26 056,6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52 196,6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15 439,6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35 168,0</w:t>
            </w:r>
          </w:p>
        </w:tc>
      </w:tr>
      <w:tr>
        <w:trPr>
          <w:trHeight w:val="30" w:hRule="atLeast"/>
        </w:trPr>
        <w:tc>
          <w:tcPr>
            <w:tcW w:w="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9 846,2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9 846,2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4 862,2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</w:tr>
      <w:tr>
        <w:trPr>
          <w:trHeight w:val="30" w:hRule="atLeast"/>
        </w:trPr>
        <w:tc>
          <w:tcPr>
            <w:tcW w:w="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3 246,0</w:t>
            </w:r>
          </w:p>
        </w:tc>
      </w:tr>
      <w:tr>
        <w:trPr>
          <w:trHeight w:val="30" w:hRule="atLeast"/>
        </w:trPr>
        <w:tc>
          <w:tcPr>
            <w:tcW w:w="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2 767 499,7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2 767 499,7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2 171 587,3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53 895,0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100 930,0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107 169,0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29 274,5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251 036,0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44 097,9</w:t>
            </w:r>
          </w:p>
        </w:tc>
      </w:tr>
      <w:tr>
        <w:trPr>
          <w:trHeight w:val="30" w:hRule="atLeast"/>
        </w:trPr>
        <w:tc>
          <w:tcPr>
            <w:tcW w:w="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227 501,5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224 539,6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31 313,2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63 023,9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21 849,0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20 959,8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11 434,2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30 392,2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15 041,2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2 961,9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2 239,0</w:t>
            </w:r>
          </w:p>
        </w:tc>
      </w:tr>
      <w:tr>
        <w:trPr>
          <w:trHeight w:val="30" w:hRule="atLeast"/>
        </w:trPr>
        <w:tc>
          <w:tcPr>
            <w:tcW w:w="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1 783 844,6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1 306 788,1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336 447,3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301 381,6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283 171,4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жилых домов и общежитий для переселения жителей из зон обрушения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385 787,8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477 056,5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450 924,0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5 812,5</w:t>
            </w:r>
          </w:p>
        </w:tc>
      </w:tr>
      <w:tr>
        <w:trPr>
          <w:trHeight w:val="30" w:hRule="atLeast"/>
        </w:trPr>
        <w:tc>
          <w:tcPr>
            <w:tcW w:w="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192 643,6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154 256,0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86 138,0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7 733,4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3 408,6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16 491,6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8 437,6</w:t>
            </w:r>
          </w:p>
        </w:tc>
      </w:tr>
      <w:tr>
        <w:trPr>
          <w:trHeight w:val="30" w:hRule="atLeast"/>
        </w:trPr>
        <w:tc>
          <w:tcPr>
            <w:tcW w:w="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111 537,9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4 450,9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4 450,9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12 797,7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12 797,7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82 580,3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17 053,7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51 856,6</w:t>
            </w:r>
          </w:p>
        </w:tc>
      </w:tr>
      <w:tr>
        <w:trPr>
          <w:trHeight w:val="30" w:hRule="atLeast"/>
        </w:trPr>
        <w:tc>
          <w:tcPr>
            <w:tcW w:w="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18 418,0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 и градостроительства района (города областного значения) 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6 059,0</w:t>
            </w:r>
          </w:p>
        </w:tc>
      </w:tr>
      <w:tr>
        <w:trPr>
          <w:trHeight w:val="30" w:hRule="atLeast"/>
        </w:trPr>
        <w:tc>
          <w:tcPr>
            <w:tcW w:w="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38 019,1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38 019,1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2 483,1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35 536,0</w:t>
            </w:r>
          </w:p>
        </w:tc>
      </w:tr>
      <w:tr>
        <w:trPr>
          <w:trHeight w:val="30" w:hRule="atLeast"/>
        </w:trPr>
        <w:tc>
          <w:tcPr>
            <w:tcW w:w="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10 430,3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3 193,3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3 193,3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7 237,0</w:t>
            </w:r>
          </w:p>
        </w:tc>
      </w:tr>
      <w:tr>
        <w:trPr>
          <w:trHeight w:val="30" w:hRule="atLeast"/>
        </w:trPr>
        <w:tc>
          <w:tcPr>
            <w:tcW w:w="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37,2</w:t>
            </w:r>
          </w:p>
        </w:tc>
      </w:tr>
      <w:tr>
        <w:trPr>
          <w:trHeight w:val="30" w:hRule="atLeast"/>
        </w:trPr>
        <w:tc>
          <w:tcPr>
            <w:tcW w:w="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187 205,4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187 205,4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28 334,0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132 929,2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6 543,4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10 523,0</w:t>
            </w:r>
          </w:p>
        </w:tc>
      </w:tr>
      <w:tr>
        <w:trPr>
          <w:trHeight w:val="30" w:hRule="atLeast"/>
        </w:trPr>
        <w:tc>
          <w:tcPr>
            <w:tcW w:w="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3 979,6</w:t>
            </w:r>
          </w:p>
        </w:tc>
      </w:tr>
      <w:tr>
        <w:trPr>
          <w:trHeight w:val="30" w:hRule="atLeast"/>
        </w:trPr>
        <w:tc>
          <w:tcPr>
            <w:tcW w:w="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3 979,6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3 979,6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-10 000,0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-12 366,1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10 523,0</w:t>
            </w:r>
          </w:p>
        </w:tc>
      </w:tr>
      <w:tr>
        <w:trPr>
          <w:trHeight w:val="30" w:hRule="atLeast"/>
        </w:trPr>
        <w:tc>
          <w:tcPr>
            <w:tcW w:w="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3 979,6</w:t>
            </w:r>
          </w:p>
        </w:tc>
      </w:tr>
      <w:tr>
        <w:trPr>
          <w:trHeight w:val="30" w:hRule="atLeast"/>
        </w:trPr>
        <w:tc>
          <w:tcPr>
            <w:tcW w:w="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3 979,6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3 979,6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3 979,6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5 822,7</w:t>
            </w:r>
          </w:p>
        </w:tc>
      </w:tr>
      <w:tr>
        <w:trPr>
          <w:trHeight w:val="30" w:hRule="atLeast"/>
        </w:trPr>
        <w:tc>
          <w:tcPr>
            <w:tcW w:w="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5 822,7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5 822,7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Атбасарского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 15/2</w:t>
            </w:r>
          </w:p>
        </w:tc>
      </w:tr>
    </w:tbl>
    <w:bookmarkStart w:name="z2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решения Атбасарского районного маслихата Акмолинской области от 28.11.2018 </w:t>
      </w:r>
      <w:r>
        <w:rPr>
          <w:rFonts w:ascii="Times New Roman"/>
          <w:b w:val="false"/>
          <w:i w:val="false"/>
          <w:color w:val="ff0000"/>
          <w:sz w:val="28"/>
        </w:rPr>
        <w:t>№ 6С 25/2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1192"/>
        <w:gridCol w:w="768"/>
        <w:gridCol w:w="5181"/>
        <w:gridCol w:w="439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4 335 934,2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1 118 459,0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534 709,0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534 709,0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422 835,0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385 745,0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29 393,0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133 517,0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71 232,0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54 619,0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33 617,0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33 617,0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3 174 183,2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201 266,0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201 266,0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2 972 917,2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2 972 917,2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9"/>
        <w:gridCol w:w="1304"/>
        <w:gridCol w:w="1304"/>
        <w:gridCol w:w="5198"/>
        <w:gridCol w:w="353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4 335 934,2</w:t>
            </w:r>
          </w:p>
        </w:tc>
      </w:tr>
      <w:tr>
        <w:trPr>
          <w:trHeight w:val="30" w:hRule="atLeast"/>
        </w:trPr>
        <w:tc>
          <w:tcPr>
            <w:tcW w:w="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253 793,0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86 461,0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86 461,0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109 402,0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109 402,0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11 437,0</w:t>
            </w:r>
          </w:p>
        </w:tc>
      </w:tr>
      <w:tr>
        <w:trPr>
          <w:trHeight w:val="30" w:hRule="atLeast"/>
        </w:trPr>
        <w:tc>
          <w:tcPr>
            <w:tcW w:w="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</w:tr>
      <w:tr>
        <w:trPr>
          <w:trHeight w:val="30" w:hRule="atLeast"/>
        </w:trPr>
        <w:tc>
          <w:tcPr>
            <w:tcW w:w="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407,0</w:t>
            </w:r>
          </w:p>
        </w:tc>
      </w:tr>
      <w:tr>
        <w:trPr>
          <w:trHeight w:val="30" w:hRule="atLeast"/>
        </w:trPr>
        <w:tc>
          <w:tcPr>
            <w:tcW w:w="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2 491 074,0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2 491 074,0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1 942 403,0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100 779,0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107 087,0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291 129,0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137 026,0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133 836,0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24 091,0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27 172,0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26 910,0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20 070,0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2 260,0</w:t>
            </w:r>
          </w:p>
        </w:tc>
      </w:tr>
      <w:tr>
        <w:trPr>
          <w:trHeight w:val="30" w:hRule="atLeast"/>
        </w:trPr>
        <w:tc>
          <w:tcPr>
            <w:tcW w:w="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924 240,2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755 892,2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260 892,2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168 348,0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168 348,0</w:t>
            </w:r>
          </w:p>
        </w:tc>
      </w:tr>
      <w:tr>
        <w:trPr>
          <w:trHeight w:val="30" w:hRule="atLeast"/>
        </w:trPr>
        <w:tc>
          <w:tcPr>
            <w:tcW w:w="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183 736,0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149 579,0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80 131,0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13 880,0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6 316,0</w:t>
            </w:r>
          </w:p>
        </w:tc>
      </w:tr>
      <w:tr>
        <w:trPr>
          <w:trHeight w:val="30" w:hRule="atLeast"/>
        </w:trPr>
        <w:tc>
          <w:tcPr>
            <w:tcW w:w="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39 983,0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14 191,0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 и градостроительства района (города областного значения) 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5 607,0</w:t>
            </w:r>
          </w:p>
        </w:tc>
      </w:tr>
      <w:tr>
        <w:trPr>
          <w:trHeight w:val="30" w:hRule="atLeast"/>
        </w:trPr>
        <w:tc>
          <w:tcPr>
            <w:tcW w:w="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28 802,0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22 071,0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22 071,0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6 731,0</w:t>
            </w:r>
          </w:p>
        </w:tc>
      </w:tr>
      <w:tr>
        <w:trPr>
          <w:trHeight w:val="30" w:hRule="atLeast"/>
        </w:trPr>
        <w:tc>
          <w:tcPr>
            <w:tcW w:w="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209 909,0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209 909,0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163 190,0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 группа</w:t>
            </w:r>
          </w:p>
        </w:tc>
        <w:tc>
          <w:tcPr>
            <w:tcW w:w="3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Атбасарского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22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 15/2</w:t>
            </w:r>
          </w:p>
        </w:tc>
      </w:tr>
    </w:tbl>
    <w:bookmarkStart w:name="z2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7"/>
        <w:gridCol w:w="810"/>
        <w:gridCol w:w="5464"/>
        <w:gridCol w:w="39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3 732 387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1 158 205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566 792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566 792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424 063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385 797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138 858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74 081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56 804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15 218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15 218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33 271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32 882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32 882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2 531 254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210 684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210 684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2 320 570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2 320 570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1"/>
        <w:gridCol w:w="1360"/>
        <w:gridCol w:w="1360"/>
        <w:gridCol w:w="5425"/>
        <w:gridCol w:w="315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3 732 387</w:t>
            </w:r>
          </w:p>
        </w:tc>
      </w:tr>
      <w:tr>
        <w:trPr>
          <w:trHeight w:val="30" w:hRule="atLeast"/>
        </w:trPr>
        <w:tc>
          <w:tcPr>
            <w:tcW w:w="1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261 891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11 831</w:t>
            </w:r>
          </w:p>
        </w:tc>
      </w:tr>
      <w:tr>
        <w:trPr>
          <w:trHeight w:val="30" w:hRule="atLeast"/>
        </w:trPr>
        <w:tc>
          <w:tcPr>
            <w:tcW w:w="1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1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1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2 575 951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2 575 951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2 026 376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107 087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291 129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139 315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136 125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</w:t>
            </w:r>
          </w:p>
        </w:tc>
      </w:tr>
      <w:tr>
        <w:trPr>
          <w:trHeight w:val="30" w:hRule="atLeast"/>
        </w:trPr>
        <w:tc>
          <w:tcPr>
            <w:tcW w:w="1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1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155 284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физической культуры и спорта района (города областного значения) 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6 316</w:t>
            </w:r>
          </w:p>
        </w:tc>
      </w:tr>
      <w:tr>
        <w:trPr>
          <w:trHeight w:val="30" w:hRule="atLeast"/>
        </w:trPr>
        <w:tc>
          <w:tcPr>
            <w:tcW w:w="1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 и градостроительства района (города областного значения) 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5 810</w:t>
            </w:r>
          </w:p>
        </w:tc>
      </w:tr>
      <w:tr>
        <w:trPr>
          <w:trHeight w:val="30" w:hRule="atLeast"/>
        </w:trPr>
        <w:tc>
          <w:tcPr>
            <w:tcW w:w="1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221 936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221 936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221 936</w:t>
            </w:r>
          </w:p>
        </w:tc>
      </w:tr>
      <w:tr>
        <w:trPr>
          <w:trHeight w:val="30" w:hRule="atLeast"/>
        </w:trPr>
        <w:tc>
          <w:tcPr>
            <w:tcW w:w="1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6 977</w:t>
            </w:r>
          </w:p>
        </w:tc>
      </w:tr>
      <w:tr>
        <w:trPr>
          <w:trHeight w:val="30" w:hRule="atLeast"/>
        </w:trPr>
        <w:tc>
          <w:tcPr>
            <w:tcW w:w="1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Атбасарского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22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 15/2</w:t>
            </w:r>
          </w:p>
        </w:tc>
      </w:tr>
    </w:tbl>
    <w:bookmarkStart w:name="z2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сел и сельских округов на 2018 год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Атбасарского районного маслихата Акмолинской области от 19.10.2018 </w:t>
      </w:r>
      <w:r>
        <w:rPr>
          <w:rFonts w:ascii="Times New Roman"/>
          <w:b w:val="false"/>
          <w:i w:val="false"/>
          <w:color w:val="ff0000"/>
          <w:sz w:val="28"/>
        </w:rPr>
        <w:t>№ 6С 24/2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5"/>
        <w:gridCol w:w="1610"/>
        <w:gridCol w:w="1611"/>
        <w:gridCol w:w="4164"/>
        <w:gridCol w:w="37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117 496,0</w:t>
            </w:r>
          </w:p>
        </w:tc>
      </w:tr>
      <w:tr>
        <w:trPr>
          <w:trHeight w:val="30" w:hRule="atLeast"/>
        </w:trPr>
        <w:tc>
          <w:tcPr>
            <w:tcW w:w="1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117 496,0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Борисовка Атбасарского района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Есенгельды Атбасарского района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Макеевского сельского округа Атбасарского района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Бастау Атбасарского района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Новосельское Атбасарского района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Акана Курманова Атбасарского района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Покровского сельского округа Атбасарского района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Полтавского сельского округа Атбасарского района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Сепе Атбасарского района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Сергеевского сельского округа Атбасарского района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Сочинское Атбасарского района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Тельманского сельского округа Атбасарского района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Шункыркольского сельского округа Атбасарского района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Ярославского сельского округа Атбасарского района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Атбасарского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 15/2</w:t>
            </w:r>
          </w:p>
        </w:tc>
      </w:tr>
    </w:tbl>
    <w:bookmarkStart w:name="z2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сел и сельских округов на 2019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0"/>
        <w:gridCol w:w="1698"/>
        <w:gridCol w:w="1698"/>
        <w:gridCol w:w="4390"/>
        <w:gridCol w:w="32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109 402</w:t>
            </w:r>
          </w:p>
        </w:tc>
      </w:tr>
      <w:tr>
        <w:trPr>
          <w:trHeight w:val="30" w:hRule="atLeast"/>
        </w:trPr>
        <w:tc>
          <w:tcPr>
            <w:tcW w:w="12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Борисовка Атбасарского района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Есенгельды Атбасарского района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Макеевского сельского округа Атбасарского района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Бастау Атбасарского района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Новосельское Атбасарского района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Акана Курманова Атбасарского района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Покровского сельского округа Атбасарского района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Полтавского сельского округа Атбасарского района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Сепе Атбасарского района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Сергеевского сельского округа Атбасарского района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Сочинское Атбасарского района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Тельманского сельского округа Атбасарского района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Шункыркольского сельского округа Атбасарского района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Ярославского сельского округа Атбасарского района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Атбасарского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22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 15/2</w:t>
            </w:r>
          </w:p>
        </w:tc>
      </w:tr>
    </w:tbl>
    <w:bookmarkStart w:name="z2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сел и сельских округов на 2020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0"/>
        <w:gridCol w:w="1698"/>
        <w:gridCol w:w="1698"/>
        <w:gridCol w:w="4390"/>
        <w:gridCol w:w="32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113 251</w:t>
            </w:r>
          </w:p>
        </w:tc>
      </w:tr>
      <w:tr>
        <w:trPr>
          <w:trHeight w:val="30" w:hRule="atLeast"/>
        </w:trPr>
        <w:tc>
          <w:tcPr>
            <w:tcW w:w="12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Борисовка Атбасарского района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Есенгельды Атбасарского района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Макеевского сельского округа Атбасарского района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Бастау Атбасарского района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Новосельское Атбасарского района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Акана Курманова Атбасарского района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Покровского сельского округа Атбасарского района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Полтавского сельского округа Атбасарского района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Сепе Атбасарского района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Сергеевского сельского округа Атбасарского района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Сочинское Атбасарского района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Тельманского сельского округа Атбасарского района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Шункыркольского сельского округа Атбасарского района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Ярославского сельского округа Атбасарского района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Атбасарского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 15/2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2018 год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Атбасарского районного маслихата Акмолинской области от 28.11.2018 </w:t>
      </w:r>
      <w:r>
        <w:rPr>
          <w:rFonts w:ascii="Times New Roman"/>
          <w:b w:val="false"/>
          <w:i w:val="false"/>
          <w:color w:val="ff0000"/>
          <w:sz w:val="28"/>
        </w:rPr>
        <w:t>№ 6С 25/2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37"/>
        <w:gridCol w:w="4063"/>
      </w:tblGrid>
      <w:tr>
        <w:trPr>
          <w:trHeight w:val="30" w:hRule="atLeast"/>
        </w:trPr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336 769,0</w:t>
            </w:r>
          </w:p>
        </w:tc>
      </w:tr>
      <w:tr>
        <w:trPr>
          <w:trHeight w:val="30" w:hRule="atLeast"/>
        </w:trPr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Покровка Атбасарского района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140 464,0</w:t>
            </w:r>
          </w:p>
        </w:tc>
      </w:tr>
      <w:tr>
        <w:trPr>
          <w:trHeight w:val="30" w:hRule="atLeast"/>
        </w:trPr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водоснабжения в селе СепеАтбасарского района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120 000,0</w:t>
            </w:r>
          </w:p>
        </w:tc>
      </w:tr>
      <w:tr>
        <w:trPr>
          <w:trHeight w:val="30" w:hRule="atLeast"/>
        </w:trPr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инженерно-коммуникационной инфраструктуры в северной части (на участке площадью 10,5 гектаров) в городе Атбасар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76 305,0</w:t>
            </w:r>
          </w:p>
        </w:tc>
      </w:tr>
      <w:tr>
        <w:trPr>
          <w:trHeight w:val="30" w:hRule="atLeast"/>
        </w:trPr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205 289,8</w:t>
            </w:r>
          </w:p>
        </w:tc>
      </w:tr>
      <w:tr>
        <w:trPr>
          <w:trHeight w:val="30" w:hRule="atLeast"/>
        </w:trPr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учителям, прошедшим стажировку по языковым курсам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1 846,0</w:t>
            </w:r>
          </w:p>
        </w:tc>
      </w:tr>
      <w:tr>
        <w:trPr>
          <w:trHeight w:val="30" w:hRule="atLeast"/>
        </w:trPr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за замещение на период обучения основного сотрудника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8 522,6</w:t>
            </w:r>
          </w:p>
        </w:tc>
      </w:tr>
      <w:tr>
        <w:trPr>
          <w:trHeight w:val="30" w:hRule="atLeast"/>
        </w:trPr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доплату за квалификацию педагогического мастерства учителям, прошедшим национальный квалификационный тест и реализующим образовательные программы начального, основного и общего среднего образования 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12 545,0</w:t>
            </w:r>
          </w:p>
        </w:tc>
      </w:tr>
      <w:tr>
        <w:trPr>
          <w:trHeight w:val="30" w:hRule="atLeast"/>
        </w:trPr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организаций образования, реализующим учебные программы начального, основного и общего среднего образования по обновленному содержанию образования, и возмещение сумм, выплаченных по данному направлению расходов за счет средств местных бюджетов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104 794,0</w:t>
            </w:r>
          </w:p>
        </w:tc>
      </w:tr>
      <w:tr>
        <w:trPr>
          <w:trHeight w:val="30" w:hRule="atLeast"/>
        </w:trPr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7 939,2</w:t>
            </w:r>
          </w:p>
        </w:tc>
      </w:tr>
      <w:tr>
        <w:trPr>
          <w:trHeight w:val="30" w:hRule="atLeast"/>
        </w:trPr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обеспечения инвалидов обязательными гигиеническими средствами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8 526,0</w:t>
            </w:r>
          </w:p>
        </w:tc>
      </w:tr>
      <w:tr>
        <w:trPr>
          <w:trHeight w:val="30" w:hRule="atLeast"/>
        </w:trPr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на развитие служб "Инватакси"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699,0</w:t>
            </w:r>
          </w:p>
        </w:tc>
      </w:tr>
      <w:tr>
        <w:trPr>
          <w:trHeight w:val="30" w:hRule="atLeast"/>
        </w:trPr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расширение Перечня технических вспомогательных (компенсаторных) средств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3 191,0</w:t>
            </w:r>
          </w:p>
        </w:tc>
      </w:tr>
      <w:tr>
        <w:trPr>
          <w:trHeight w:val="30" w:hRule="atLeast"/>
        </w:trPr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труда, в том числе: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29 696,0</w:t>
            </w:r>
          </w:p>
        </w:tc>
      </w:tr>
      <w:tr>
        <w:trPr>
          <w:trHeight w:val="30" w:hRule="atLeast"/>
        </w:trPr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частичное субсидирование заработной платы и молодежную практику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21 891,0</w:t>
            </w:r>
          </w:p>
        </w:tc>
      </w:tr>
      <w:tr>
        <w:trPr>
          <w:trHeight w:val="30" w:hRule="atLeast"/>
        </w:trPr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мер государственной поддержки лицам, добровольно переселяющимся гражданам в регионы, определенные Правительством Республики Казахстан и работодателям оказывающим содействие в переселении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гранты на реализацию новых бизнес-идей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7 215,0</w:t>
            </w:r>
          </w:p>
        </w:tc>
      </w:tr>
      <w:tr>
        <w:trPr>
          <w:trHeight w:val="30" w:hRule="atLeast"/>
        </w:trPr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7 511,0</w:t>
            </w:r>
          </w:p>
        </w:tc>
      </w:tr>
      <w:tr>
        <w:trPr>
          <w:trHeight w:val="30" w:hRule="atLeast"/>
        </w:trPr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20 020,0</w:t>
            </w:r>
          </w:p>
        </w:tc>
      </w:tr>
      <w:tr>
        <w:trPr>
          <w:trHeight w:val="30" w:hRule="atLeast"/>
        </w:trPr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10 523,0</w:t>
            </w:r>
          </w:p>
        </w:tc>
      </w:tr>
      <w:tr>
        <w:trPr>
          <w:trHeight w:val="30" w:hRule="atLeast"/>
        </w:trPr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Атбасарского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 15/2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2018 год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8 - в редакции решения Атбасарского районного маслихата Акмолинской области от 28.11.2018 </w:t>
      </w:r>
      <w:r>
        <w:rPr>
          <w:rFonts w:ascii="Times New Roman"/>
          <w:b w:val="false"/>
          <w:i w:val="false"/>
          <w:color w:val="ff0000"/>
          <w:sz w:val="28"/>
        </w:rPr>
        <w:t>№ 6С 25/2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04"/>
        <w:gridCol w:w="3896"/>
      </w:tblGrid>
      <w:tr>
        <w:trPr>
          <w:trHeight w:val="30" w:hRule="atLeast"/>
        </w:trPr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974 322,4</w:t>
            </w:r>
          </w:p>
        </w:tc>
      </w:tr>
      <w:tr>
        <w:trPr>
          <w:trHeight w:val="30" w:hRule="atLeast"/>
        </w:trPr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четырнадцати сорокапятиквартирных жилых домов (позиции 1-14) в микрорайоне № 1 города Атбасар (привязка) (позиция 1)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318 225,3</w:t>
            </w:r>
          </w:p>
        </w:tc>
      </w:tr>
      <w:tr>
        <w:trPr>
          <w:trHeight w:val="30" w:hRule="atLeast"/>
        </w:trPr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обустройство к четырнадцати сорокапятиквартирным жилым домам в микрорайоне № 1 города Атбасар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195 513,8</w:t>
            </w:r>
          </w:p>
        </w:tc>
      </w:tr>
      <w:tr>
        <w:trPr>
          <w:trHeight w:val="30" w:hRule="atLeast"/>
        </w:trPr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четырнадцати сорокапятиквартирных жилых домов (позиции 1-14) в микрорайоне № 1 города Атбасар (привязка) (позиция 9)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327 073,5</w:t>
            </w:r>
          </w:p>
        </w:tc>
      </w:tr>
      <w:tr>
        <w:trPr>
          <w:trHeight w:val="30" w:hRule="atLeast"/>
        </w:trPr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обустройство к четырнадцати сорокапятиквартирным жилым домам города Атбасар (уличное освещение)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10 721,5</w:t>
            </w:r>
          </w:p>
        </w:tc>
      </w:tr>
      <w:tr>
        <w:trPr>
          <w:trHeight w:val="30" w:hRule="atLeast"/>
        </w:trPr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Покровка Атбасарского района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21 777,4</w:t>
            </w:r>
          </w:p>
        </w:tc>
      </w:tr>
      <w:tr>
        <w:trPr>
          <w:trHeight w:val="30" w:hRule="atLeast"/>
        </w:trPr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сети теплоснабжения над железнодорожной магистралью города Атбасар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5 812,5</w:t>
            </w:r>
          </w:p>
        </w:tc>
      </w:tr>
      <w:tr>
        <w:trPr>
          <w:trHeight w:val="30" w:hRule="atLeast"/>
        </w:trPr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инженерно-коммуникационной инфраструктуры в северной части (на участке 10,5 га) в городе Атбасар. Наружные сети водоснабжения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4 795,8</w:t>
            </w:r>
          </w:p>
        </w:tc>
      </w:tr>
      <w:tr>
        <w:trPr>
          <w:trHeight w:val="30" w:hRule="atLeast"/>
        </w:trPr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инженерно-коммуникационной инфраструктуры в северной части (на участке 10,5 га) в городе Атбасар. Наружные сети электроснабжения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3 682,5</w:t>
            </w:r>
          </w:p>
        </w:tc>
      </w:tr>
      <w:tr>
        <w:trPr>
          <w:trHeight w:val="30" w:hRule="atLeast"/>
        </w:trPr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на строительство двенадцати сорокапятиквартирных жилых домов города Атбасар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18 222,0</w:t>
            </w:r>
          </w:p>
        </w:tc>
      </w:tr>
      <w:tr>
        <w:trPr>
          <w:trHeight w:val="30" w:hRule="atLeast"/>
        </w:trPr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на строительство наружных сетей и обустройство к двенадцати сорокапятиквартирным жилым домам (наружные сети водоснабжения и водоотведения, сети теплоснабжения, связи) города Атбасар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8 227,8</w:t>
            </w:r>
          </w:p>
        </w:tc>
      </w:tr>
      <w:tr>
        <w:trPr>
          <w:trHeight w:val="30" w:hRule="atLeast"/>
        </w:trPr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на строительство наружных сетей и обустройство к двенадцати сорокапятиквартирным жилым домам (наружные сети электроснабжения) города Атбасар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166,2</w:t>
            </w:r>
          </w:p>
        </w:tc>
      </w:tr>
      <w:tr>
        <w:trPr>
          <w:trHeight w:val="30" w:hRule="atLeast"/>
        </w:trPr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на строительство наружных сетей и обустройство к двенадцати сорокапятиквартирным жилым домам (обустройство, уличное освещение) города Атбасар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1 489,8</w:t>
            </w:r>
          </w:p>
        </w:tc>
      </w:tr>
      <w:tr>
        <w:trPr>
          <w:trHeight w:val="30" w:hRule="atLeast"/>
        </w:trPr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четырнадцати сорокапятиквартирных жилых домов (позиции 1-14) в микрорайоне № 1 города Атбасар (привязка) (позиция 5)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14 812,4</w:t>
            </w:r>
          </w:p>
        </w:tc>
      </w:tr>
      <w:tr>
        <w:trPr>
          <w:trHeight w:val="30" w:hRule="atLeast"/>
        </w:trPr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четырнадцати сорокапятиквартирных жилых домов (позиции 1-14) в микрорайоне № 1 города Атбасар (привязка) (позиция 7)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14 823,8</w:t>
            </w:r>
          </w:p>
        </w:tc>
      </w:tr>
      <w:tr>
        <w:trPr>
          <w:trHeight w:val="30" w:hRule="atLeast"/>
        </w:trPr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четырнадцати сорокапятиквартирных жилых домов (позиции 1-14) в микрорайоне № 1 города Атбасар (привязка) (позиция 8)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14 487,1</w:t>
            </w:r>
          </w:p>
        </w:tc>
      </w:tr>
      <w:tr>
        <w:trPr>
          <w:trHeight w:val="30" w:hRule="atLeast"/>
        </w:trPr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четырнадцати сорокапятиквартирных жилых домов (позиции 1-14) в микрорайоне № 1 города Атбасар (привязка) (позиция 10)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14 491,0</w:t>
            </w:r>
          </w:p>
        </w:tc>
      </w:tr>
      <w:tr>
        <w:trPr>
          <w:trHeight w:val="30" w:hRule="atLeast"/>
        </w:trPr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520 673,2</w:t>
            </w:r>
          </w:p>
        </w:tc>
      </w:tr>
      <w:tr>
        <w:trPr>
          <w:trHeight w:val="30" w:hRule="atLeast"/>
        </w:trPr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блочно-модульной котельной для Родионовской основной школы села Родионовка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14 828,8</w:t>
            </w:r>
          </w:p>
        </w:tc>
      </w:tr>
      <w:tr>
        <w:trPr>
          <w:trHeight w:val="30" w:hRule="atLeast"/>
        </w:trPr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школьного автобуса для объектов образования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13 901,0</w:t>
            </w:r>
          </w:p>
        </w:tc>
      </w:tr>
      <w:tr>
        <w:trPr>
          <w:trHeight w:val="30" w:hRule="atLeast"/>
        </w:trPr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на развитие служб "Инватакси"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2 460,0</w:t>
            </w:r>
          </w:p>
        </w:tc>
      </w:tr>
      <w:tr>
        <w:trPr>
          <w:trHeight w:val="30" w:hRule="atLeast"/>
        </w:trPr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краткосрочного профессионального обучения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12 287,1</w:t>
            </w:r>
          </w:p>
        </w:tc>
      </w:tr>
      <w:tr>
        <w:trPr>
          <w:trHeight w:val="30" w:hRule="atLeast"/>
        </w:trPr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субсидии по возмещению расходов по найму (аренде) жилья для переселенцев и оралманов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865,8</w:t>
            </w:r>
          </w:p>
        </w:tc>
      </w:tr>
      <w:tr>
        <w:trPr>
          <w:trHeight w:val="30" w:hRule="atLeast"/>
        </w:trPr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противоэпизоотических мероприятий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48 356,6</w:t>
            </w:r>
          </w:p>
        </w:tc>
      </w:tr>
      <w:tr>
        <w:trPr>
          <w:trHeight w:val="30" w:hRule="atLeast"/>
        </w:trPr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стоимости сельскохозяйственных животных (крупного и мелкого рогатого скота) больных бруцеллезом направляемых на санитарный убой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17 053,7</w:t>
            </w:r>
          </w:p>
        </w:tc>
      </w:tr>
      <w:tr>
        <w:trPr>
          <w:trHeight w:val="30" w:hRule="atLeast"/>
        </w:trPr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вакцинации против нодулярного дерматита крупного рогатого скота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улично-дорожной сети города Атбасар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35 168,0</w:t>
            </w:r>
          </w:p>
        </w:tc>
      </w:tr>
      <w:tr>
        <w:trPr>
          <w:trHeight w:val="30" w:hRule="atLeast"/>
        </w:trPr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завершение отопительного сезона теплоснабжающим предприятиям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70 356,0</w:t>
            </w:r>
          </w:p>
        </w:tc>
      </w:tr>
      <w:tr>
        <w:trPr>
          <w:trHeight w:val="30" w:hRule="atLeast"/>
        </w:trPr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 в городе Атбасар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12 320,0</w:t>
            </w:r>
          </w:p>
        </w:tc>
      </w:tr>
      <w:tr>
        <w:trPr>
          <w:trHeight w:val="30" w:hRule="atLeast"/>
        </w:trPr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подготовку к отопительному сезону теплоснабжающим предприятиям 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223 568,0</w:t>
            </w:r>
          </w:p>
        </w:tc>
      </w:tr>
      <w:tr>
        <w:trPr>
          <w:trHeight w:val="30" w:hRule="atLeast"/>
        </w:trPr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и доставку учебников для школ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39 895,0</w:t>
            </w:r>
          </w:p>
        </w:tc>
      </w:tr>
      <w:tr>
        <w:trPr>
          <w:trHeight w:val="30" w:hRule="atLeast"/>
        </w:trPr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оснащение Wi-Fi сетями школ района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4 716,0</w:t>
            </w:r>
          </w:p>
        </w:tc>
      </w:tr>
      <w:tr>
        <w:trPr>
          <w:trHeight w:val="30" w:hRule="atLeast"/>
        </w:trPr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кровли школы №3 города Атбасар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15 142,0</w:t>
            </w:r>
          </w:p>
        </w:tc>
      </w:tr>
      <w:tr>
        <w:trPr>
          <w:trHeight w:val="30" w:hRule="atLeast"/>
        </w:trPr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Программы "Формирование здоровья и жизненных навыков и превенции суицида среди несовершеннолетних"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</w:t>
            </w:r>
          </w:p>
        </w:tc>
      </w:tr>
      <w:tr>
        <w:trPr>
          <w:trHeight w:val="30" w:hRule="atLeast"/>
        </w:trPr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котлов и котельного оборудования для объектов образования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Атбасарского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 15/2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 между селами и сельскими округами на 2018 год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9 - в редакции решения Атбасарского районного маслихата Акмолинской области от 19.10.2018 </w:t>
      </w:r>
      <w:r>
        <w:rPr>
          <w:rFonts w:ascii="Times New Roman"/>
          <w:b w:val="false"/>
          <w:i w:val="false"/>
          <w:color w:val="ff0000"/>
          <w:sz w:val="28"/>
        </w:rPr>
        <w:t>№ 6С 24/2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8"/>
        <w:gridCol w:w="7922"/>
      </w:tblGrid>
      <w:tr>
        <w:trPr>
          <w:trHeight w:val="30" w:hRule="atLeast"/>
        </w:trPr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17 980,0</w:t>
            </w:r>
          </w:p>
        </w:tc>
      </w:tr>
      <w:tr>
        <w:trPr>
          <w:trHeight w:val="30" w:hRule="atLeast"/>
        </w:trPr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Борисовка Атбасарского района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Есенгельды Атбасарского района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925,0</w:t>
            </w:r>
          </w:p>
        </w:tc>
      </w:tr>
      <w:tr>
        <w:trPr>
          <w:trHeight w:val="30" w:hRule="atLeast"/>
        </w:trPr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Макеевского сельского округа Атбасарского района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760,0</w:t>
            </w:r>
          </w:p>
        </w:tc>
      </w:tr>
      <w:tr>
        <w:trPr>
          <w:trHeight w:val="30" w:hRule="atLeast"/>
        </w:trPr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Бастау Атбасарского района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1 207,0</w:t>
            </w:r>
          </w:p>
        </w:tc>
      </w:tr>
      <w:tr>
        <w:trPr>
          <w:trHeight w:val="30" w:hRule="atLeast"/>
        </w:trPr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Новосельское Атбасарского района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Акана Курманова Атбасарского района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2 950,0</w:t>
            </w:r>
          </w:p>
        </w:tc>
      </w:tr>
      <w:tr>
        <w:trPr>
          <w:trHeight w:val="30" w:hRule="atLeast"/>
        </w:trPr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Покровского сельского округа Атбасарского района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Полтавского сельского округа Атбасарского района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867,0</w:t>
            </w:r>
          </w:p>
        </w:tc>
      </w:tr>
      <w:tr>
        <w:trPr>
          <w:trHeight w:val="30" w:hRule="atLeast"/>
        </w:trPr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Сепе Атбасарского района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Сергеевского сельского округа Атбасарского района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1 298,0</w:t>
            </w:r>
          </w:p>
        </w:tc>
      </w:tr>
      <w:tr>
        <w:trPr>
          <w:trHeight w:val="30" w:hRule="atLeast"/>
        </w:trPr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Сочинское Атбасарского района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Тельманского сельского округа Атбасарского района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Шункыркольского сельского округа Атбасарского района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623,0</w:t>
            </w:r>
          </w:p>
        </w:tc>
      </w:tr>
      <w:tr>
        <w:trPr>
          <w:trHeight w:val="30" w:hRule="atLeast"/>
        </w:trPr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Ярославского сельского округа Атбасарского района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Атбасарского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 15/2</w:t>
            </w:r>
          </w:p>
        </w:tc>
      </w:tr>
    </w:tbl>
    <w:bookmarkStart w:name="z3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районного бюджета на 2018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0"/>
        <w:gridCol w:w="3831"/>
        <w:gridCol w:w="3831"/>
        <w:gridCol w:w="18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бюджетной классификации</w:t>
            </w:r>
          </w:p>
        </w:tc>
      </w:tr>
      <w:tr>
        <w:trPr>
          <w:trHeight w:val="30" w:hRule="atLeast"/>
        </w:trPr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</w:tr>
      <w:tr>
        <w:trPr>
          <w:trHeight w:val="30" w:hRule="atLeast"/>
        </w:trPr>
        <w:tc>
          <w:tcPr>
            <w:tcW w:w="2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