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7b5cd" w14:textId="c27b5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 по Енбекшиказахскому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9 февраля 2017 года № 12-3. Зарегистрировано Департаментом юстиции Алматинской области 10 марта 2017 года № 4123. Утратило силу решением Енбекшиказахского районного маслихата Алматинской области от 23 февраля 2018 года № 24-10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Енбекшиказахского районного маслихата Алматинской области от 23.02.2018 </w:t>
      </w:r>
      <w:r>
        <w:rPr>
          <w:rFonts w:ascii="Times New Roman"/>
          <w:b w:val="false"/>
          <w:i w:val="false"/>
          <w:color w:val="ff0000"/>
          <w:sz w:val="28"/>
        </w:rPr>
        <w:t>№ 24-10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422 Кодекса Республики Казахстан от 10 декабря 2008 года "О налогах и других обязательных платежах в бюджет (Налоговый кодекс)", Енбекшиказахский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в пределах утвержденных базовых ставок единые ставки фиксированного налога для всех налогоплательщиков, осуществляющих деятельность на территории Енбекшиказахского районасогласно приложению к настоящему решению.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Енбекшиказахского районного маслихата "Об установлении единых ставок фиксированного налога на 2014-2016 годы по Енбекшиказахскому району" от 07 октября 2013 года № 21-7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2459</w:t>
      </w:r>
      <w:r>
        <w:rPr>
          <w:rFonts w:ascii="Times New Roman"/>
          <w:b w:val="false"/>
          <w:i w:val="false"/>
          <w:color w:val="000000"/>
          <w:sz w:val="28"/>
        </w:rPr>
        <w:t>, опубликован в газете "Енбекшиказах" 29 ноября 2013 года, 20 декабря 2013 года).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районного маслихата Джелдикбаеву Айкерим Алчиновну и на постоянную комиссию районного маслихата "По вопросам экономики, бюджета и финансов".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М.Демесинов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Енбекшиказахского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"9" февраля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"Об установлении единых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ставок фиксированного налога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Енбекшиказахскому району"</w:t>
            </w:r>
          </w:p>
        </w:tc>
      </w:tr>
    </w:tbl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единых ставок фиксированного налога для всех налогоплательщиков, осуществляющих деятельность на территории Енбекшиказахского района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2"/>
        <w:gridCol w:w="5690"/>
        <w:gridCol w:w="4778"/>
      </w:tblGrid>
      <w:tr>
        <w:trPr>
          <w:trHeight w:val="30" w:hRule="atLeast"/>
        </w:trPr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 </w:t>
            </w:r>
          </w:p>
          <w:bookmarkEnd w:id="6"/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единых ставок фиксированного налога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"/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9"/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0"/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1"/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2"/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3"/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