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0978" w14:textId="76a0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Бухар-Жырауского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11 сессии Бухар-Жырауского районного маслихата Карагандинской области от 28 февраля 2017 года № 5. Зарегистрировано Департаментом юстиции Карагандинской области 17 марта 2017 года № 4182. Утратило силу решением Бухар-Жырауского районного маслихата Карагандинской области от 29 марта 2018 года № 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29.03.2018 № 26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Бухар-Жырауского районного маслихата".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47 сессии Бухар-Жырауского районного маслихата от 04 марта 2016 года № 4 "Об утверждении Методики оценки деятельности административных государственных служащих корпуса "Б" государственного учреждения "Аппарат Бухар-Жырауского районного маслихата" (зарегистрировано в Реестре государственной регистрации нормативных правовых актов за № 3735, опубликовано в районной газете "Бұқар жырау жаршысы" от 09 апреля 2016 года за № 14, в информационно-правовой системе "Әділет" от 11 апреля 2016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 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</w:t>
      </w:r>
      <w:r>
        <w:rPr>
          <w:rFonts w:ascii="Times New Roman"/>
          <w:b/>
          <w:i w:val="false"/>
          <w:color w:val="000000"/>
        </w:rPr>
        <w:t xml:space="preserve"> учреждения "Аппарат Бухар-Жырауского районного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Настоящая методика оценки деятельности административных государственных служащих корпуса "Б" государственного учреждения "Аппарат Бухар-Жырауского районного маслихата"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 служащих корпуса "Б" (далее – оценка) проводится для определения эффективности и качества их работы.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Оценка проводится по результатам деятельности служащего корпуса "Б" на занимаемой должности: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по итогам года (годовая оценка) – не позднее двадцать пятого декабря оцениваемого года.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 решающим.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по организационно-кадровой работе аппарата районного маслихата (далее – Главный специалист). Секретарь Комиссии по оценке не принимает участие в голосовании.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 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составляется в двух экземплярах. Один экземпляр передается Главному специалисту. Второй экземпляр находится у руководителя аппарата районного маслихата.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Главный специалист формирует график проведения оценки по согласованию с председателем Комиссии по оценке.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</w:t>
      </w:r>
      <w:r>
        <w:br/>
      </w:r>
      <w:r>
        <w:rPr>
          <w:rFonts w:ascii="Times New Roman"/>
          <w:b/>
          <w:i w:val="false"/>
          <w:color w:val="000000"/>
        </w:rPr>
        <w:t>должностных обязанностей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 своих должностных обязанностей.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 дисциплины.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и непосредственного руководителя служащего корпуса "Б".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 – 2" балла за каждый факт нарушения.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 Методике.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Главным специалистом, службой документооборота сведений о фактах нарушения служащим корпуса "Б" трудовой и исполнительской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 об отказе от ознакомления.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Итоговая квартальная оценка служащего корпуса "Б" вычисляется непосредственным руководителем по следующей формуле: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квартальная оценка;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 – поощрительные баллы;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– штрафные баллы.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>к настоящей Методике.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 шкале: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 работы, присваивается - 2 балла;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 частичное выполнение целевого показателя - 3 балла;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 В этом случае Главным специалистом и непосредственным руководителем служащего корпуса "Б" в произвольной форме составляется акт об отказе от ознакомления.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 27 настоящей Методики, приводится к пятибалльной системе оценок, а именно: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- 2 балла,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оценка выполнения индивидуального плана работы (среднеарифметическое значение).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3"/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 обеспечивает проведение заседания Комиссии по рассмотрению результатов оценки в соответствии с графиком, согласованным с председателем Комиссии.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предоставляет на заседание Комиссии следующие документы: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 оценочные листы;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 инструкция служащего корпуса "Б";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 к настоящей Методике.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 одно из следующих решений: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 результаты оценки;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 результаты оценки.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 письменной или электронной форме.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специалиста.</w:t>
      </w:r>
    </w:p>
    <w:bookmarkEnd w:id="87"/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 дня вынесения решения.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2"/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 его деятельности.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 послужные списки.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Бухар-Жырауского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1"/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0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целевых показателей составляет не более четырех, из них не менее половины измеримых.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115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Бухар-Жырауского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6"/>
    <w:bookmarkStart w:name="z13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Фамилия, имя, отчество (при его наличии) 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исполнения должностных обязанностей: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518"/>
        <w:gridCol w:w="1288"/>
        <w:gridCol w:w="1289"/>
        <w:gridCol w:w="761"/>
        <w:gridCol w:w="1404"/>
        <w:gridCol w:w="2382"/>
        <w:gridCol w:w="2385"/>
        <w:gridCol w:w="337"/>
        <w:gridCol w:w="81"/>
      </w:tblGrid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поощряемых показателях и видах деятельности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исполнительской дисциплины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трудовой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поощряемых показателях и видах деятельности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исполнительской дисциплины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трудовой дисциплины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"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1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  <w:bookmarkEnd w:id="13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1"/>
    <w:bookmarkStart w:name="z14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Фамилия, имя, отчество (при его наличии) 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выполнения индивидуального плана: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146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Бухар-Жырауского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7"/>
    <w:bookmarkStart w:name="z16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54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5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7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Проверено: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Комиссии: ________________________ Дата: ___________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 _____________________ Дата: ___________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 ____________________________ Дата: ___________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