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f1ed" w14:textId="08af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26 июня 2017 года № 25/04. Зарегистрировано Департаментом юстиции Карагандинской области 10 июля 2017 года № 4300. Утратило силу постановлением акимата Бухар-Жырауского района Карагандинской области от 31 марта 2021 года № 20/01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Бухар-Жырауского района Карагандинской области от 31.03.2021 № 20/01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рабочих мест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Нурмуханбетова Руслана Есенбековича.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Бухар-Жырауского района</w:t>
            </w:r>
            <w:r>
              <w:br/>
            </w:r>
            <w:r>
              <w:rPr>
                <w:rFonts w:ascii="Times New Roman"/>
                <w:b w:val="false"/>
                <w:i w:val="false"/>
                <w:color w:val="000000"/>
                <w:sz w:val="20"/>
              </w:rPr>
              <w:t>от 26 июня 2017 года</w:t>
            </w:r>
            <w:r>
              <w:br/>
            </w:r>
            <w:r>
              <w:rPr>
                <w:rFonts w:ascii="Times New Roman"/>
                <w:b w:val="false"/>
                <w:i w:val="false"/>
                <w:color w:val="000000"/>
                <w:sz w:val="20"/>
              </w:rPr>
              <w:t>№ 25/04</w:t>
            </w:r>
          </w:p>
        </w:tc>
      </w:tr>
    </w:tbl>
    <w:bookmarkStart w:name="z9" w:id="4"/>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020"/>
        <w:gridCol w:w="2060"/>
        <w:gridCol w:w="2243"/>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w:t>
            </w:r>
          </w:p>
          <w:bookmarkEnd w:id="5"/>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(единиц)</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1</w:t>
            </w:r>
          </w:p>
          <w:bookmarkEnd w:id="6"/>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районная больница Бухар-Жырауского района" Управления здравоохранения Карагандинской области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2</w:t>
            </w:r>
          </w:p>
          <w:bookmarkEnd w:id="7"/>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"Бухар-Жырауский районный дом культуры" акимата Бухар-Жырауского района Бухар-Жырауского районного отдела культуры и развития языков</w:t>
            </w: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