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a094" w14:textId="10aa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селу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10/86. Зарегистрировано Департаментом юстиции Мангистауской области 21 апреля 2017 года № 3339.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селу Таушык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Ш.Азирбаев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селу Таушык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1:30000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селу Таушык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426"/>
        <w:gridCol w:w="4161"/>
        <w:gridCol w:w="3294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и производственная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Проектируемая застройка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селитебная и производственная территория. Входят земли жилых застроек, основных административных зданий, общеобразовательной школы, детских садов, магазинов. Жилые массивы обеспечены газом, электричеством и телефонной связью.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ІІ зона - </w:t>
      </w:r>
      <w:r>
        <w:rPr>
          <w:rFonts w:ascii="Times New Roman"/>
          <w:b w:val="false"/>
          <w:i w:val="false"/>
          <w:color w:val="000000"/>
          <w:sz w:val="28"/>
        </w:rPr>
        <w:t>проектируемая застройка.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ІІІ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резервная территория.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