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e8b6" w14:textId="d1ae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2017 года № 50. Зарегистрировано Департаментом юстиции Костанайской области 20 февраля 2017 года № 6835.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приказом Министра здравоохранения и социального развития Республики Казахстан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14368)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под № 6523, опубликовано 16 июля 2016 года в газете "Костанайские новости")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регламентах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"Присвоение статуса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оралмана",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гражданам", </w:t>
      </w:r>
      <w:r>
        <w:rPr>
          <w:rFonts w:ascii="Times New Roman"/>
          <w:b w:val="false"/>
          <w:i w:val="false"/>
          <w:color w:val="000000"/>
          <w:sz w:val="28"/>
        </w:rPr>
        <w:t>"Регистрация граждан</w:t>
      </w:r>
      <w:r>
        <w:rPr>
          <w:rFonts w:ascii="Times New Roman"/>
          <w:b w:val="false"/>
          <w:i w:val="false"/>
          <w:color w:val="000000"/>
          <w:sz w:val="28"/>
        </w:rPr>
        <w:t>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утвержденных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действия, работником Государственной корпорации выдается расписка об отказе в приеме пакета документов, 5 (пять) минут;";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"Регистрация и постановка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 безработных граждан", утвержденном вышеуказанным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действия, работником Государственной корпорации выдается расписка об отказе в приеме заявления, 5 (пять) минут;";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регламентам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"Присвоение статуса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оралмана", </w:t>
      </w:r>
      <w:r>
        <w:rPr>
          <w:rFonts w:ascii="Times New Roman"/>
          <w:b w:val="false"/>
          <w:i w:val="false"/>
          <w:color w:val="000000"/>
          <w:sz w:val="28"/>
        </w:rPr>
        <w:t>"Регистрация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регламентам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безработным гражданам", </w:t>
      </w:r>
      <w:r>
        <w:rPr>
          <w:rFonts w:ascii="Times New Roman"/>
          <w:b w:val="false"/>
          <w:i w:val="false"/>
          <w:color w:val="000000"/>
          <w:sz w:val="28"/>
        </w:rPr>
        <w:t>"Регистрация и постановка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 безработных граждан"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оралмана"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статуса оралмана"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удостоверений"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гражданам"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безработным гражданам"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граждан"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и постановка на учет безработных граждан"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