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9177" w14:textId="5609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22 мая 2015 года № 145/5 "Об утверждении регламентов государственных услуг в области охраны окружающей среды"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14 ноября 2017 года № 352/6. Зарегистрировано Департаментом юстиции Павлодарской области 30 ноября 2017 года № 5714. Утратило силу постановлением акимата Павлодарской области от 25 января 2021 года № 30/1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25.01.2021 № 30/1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22 мая 2015 года № 145/5 "Об утверждении регламентов государственных услуг в области охраны окружающей среды" (зарегистрировано в Реестре государственной регистрации нормативных правовых актов за № 4560, опубликовано 17 июля 2015 года в газете "Регион. kz")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разрешений на эмиссии в окружающую среду для объектов II, III и IV категорий",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заключений государственной экологической экспертизы для объектов II, III и IV категорий",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Касенова Б.К.</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ноября 2017 года</w:t>
            </w:r>
            <w:r>
              <w:br/>
            </w:r>
            <w:r>
              <w:rPr>
                <w:rFonts w:ascii="Times New Roman"/>
                <w:b w:val="false"/>
                <w:i w:val="false"/>
                <w:color w:val="000000"/>
                <w:sz w:val="20"/>
              </w:rPr>
              <w:t>№ 352/6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"22" мая 2015 года № 145/5</w:t>
            </w:r>
          </w:p>
        </w:tc>
      </w:tr>
    </w:tbl>
    <w:bookmarkStart w:name="z9" w:id="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разрешений на эмиссии в окружающую среду</w:t>
      </w:r>
      <w:r>
        <w:br/>
      </w:r>
      <w:r>
        <w:rPr>
          <w:rFonts w:ascii="Times New Roman"/>
          <w:b/>
          <w:i w:val="false"/>
          <w:color w:val="000000"/>
        </w:rPr>
        <w:t>для объектов II, III и IV категорий"</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1. Государственная услуга "Выдача разрешений на эмиссии в окружающую среду для объектов II, III и IV категорий"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канцелярию услугодателя;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12" w:id="8"/>
    <w:p>
      <w:pPr>
        <w:spacing w:after="0"/>
        <w:ind w:left="0"/>
        <w:jc w:val="both"/>
      </w:pPr>
      <w:r>
        <w:rPr>
          <w:rFonts w:ascii="Times New Roman"/>
          <w:b w:val="false"/>
          <w:i w:val="false"/>
          <w:color w:val="000000"/>
          <w:sz w:val="28"/>
        </w:rPr>
        <w:t>
      2. Форма оказания государственной услуги: электронная и (или) бумажная.</w:t>
      </w:r>
    </w:p>
    <w:bookmarkEnd w:id="8"/>
    <w:bookmarkStart w:name="z13" w:id="9"/>
    <w:p>
      <w:pPr>
        <w:spacing w:after="0"/>
        <w:ind w:left="0"/>
        <w:jc w:val="both"/>
      </w:pPr>
      <w:r>
        <w:rPr>
          <w:rFonts w:ascii="Times New Roman"/>
          <w:b w:val="false"/>
          <w:i w:val="false"/>
          <w:color w:val="000000"/>
          <w:sz w:val="28"/>
        </w:rPr>
        <w:t xml:space="preserve">
      3. Результат оказания государственной услуги – разрешение, переоформление разрешения на эмиссии в окружающую среду для объектов II, III, IV категорий (далее – разрешение на эмиссии в окружающую среду)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разрешений на эмиссии в окружающую среду для объектов II, III и IV категорий",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апреля 2015 года № 301 "Об утверждении стандартов государственных услуг в области охраны окружающей среды" (далее – Стандарт).</w:t>
      </w:r>
    </w:p>
    <w:bookmarkEnd w:id="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Start w:name="z14" w:id="1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0"/>
    <w:bookmarkStart w:name="z15" w:id="1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заявки на получение разрешения на эмиссии в окружающую среду для объектов II и III категорий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для получения разрешения на эмиссии в окружающую среду объектов IV категории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для переоформления разрешения на эмиссии в окружающую среду для объектов II, III, IV категорий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либо запроса в форме электронного документа, удостоверенного ЭЦП услугополучателя, с приложением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1"/>
    <w:bookmarkStart w:name="z16" w:id="12"/>
    <w:p>
      <w:pPr>
        <w:spacing w:after="0"/>
        <w:ind w:left="0"/>
        <w:jc w:val="both"/>
      </w:pPr>
      <w:r>
        <w:rPr>
          <w:rFonts w:ascii="Times New Roman"/>
          <w:b w:val="false"/>
          <w:i w:val="false"/>
          <w:color w:val="000000"/>
          <w:sz w:val="28"/>
        </w:rPr>
        <w:t>
      5. Содержание процедур (действий), входящих в состав процесса оказания государственной услуги:</w:t>
      </w:r>
    </w:p>
    <w:bookmarkEnd w:id="12"/>
    <w:p>
      <w:pPr>
        <w:spacing w:after="0"/>
        <w:ind w:left="0"/>
        <w:jc w:val="both"/>
      </w:pPr>
      <w:r>
        <w:rPr>
          <w:rFonts w:ascii="Times New Roman"/>
          <w:b w:val="false"/>
          <w:i w:val="false"/>
          <w:color w:val="000000"/>
          <w:sz w:val="28"/>
        </w:rPr>
        <w:t>
      1) прием и регистрация поступивших документов сотрудником канцелярии услугодателя, направление на рассмотрение руководителю услугодателя – 20 (двадцать) минут;</w:t>
      </w:r>
    </w:p>
    <w:p>
      <w:pPr>
        <w:spacing w:after="0"/>
        <w:ind w:left="0"/>
        <w:jc w:val="both"/>
      </w:pPr>
      <w:r>
        <w:rPr>
          <w:rFonts w:ascii="Times New Roman"/>
          <w:b w:val="false"/>
          <w:i w:val="false"/>
          <w:color w:val="000000"/>
          <w:sz w:val="28"/>
        </w:rPr>
        <w:t>
      2) направление документов с резолюцией руководителя услугодателя в ответственное структурное подразделение – 40 (сорок) минут;</w:t>
      </w:r>
    </w:p>
    <w:p>
      <w:pPr>
        <w:spacing w:after="0"/>
        <w:ind w:left="0"/>
        <w:jc w:val="both"/>
      </w:pPr>
      <w:r>
        <w:rPr>
          <w:rFonts w:ascii="Times New Roman"/>
          <w:b w:val="false"/>
          <w:i w:val="false"/>
          <w:color w:val="000000"/>
          <w:sz w:val="28"/>
        </w:rPr>
        <w:t>
      3) определение ответственного исполнителя руководителем структурного подразделения для рассмотрения принятых документов – в течение 1 (одного) рабочего дня;</w:t>
      </w:r>
    </w:p>
    <w:p>
      <w:pPr>
        <w:spacing w:after="0"/>
        <w:ind w:left="0"/>
        <w:jc w:val="both"/>
      </w:pPr>
      <w:r>
        <w:rPr>
          <w:rFonts w:ascii="Times New Roman"/>
          <w:b w:val="false"/>
          <w:i w:val="false"/>
          <w:color w:val="000000"/>
          <w:sz w:val="28"/>
        </w:rPr>
        <w:t>
      4) рассмотрение ответственным исполнителем представленных документов на соответствие требованиям законодательства, подготовка и направление на рассмотрение руководителю структурного подразделения:</w:t>
      </w:r>
    </w:p>
    <w:p>
      <w:pPr>
        <w:spacing w:after="0"/>
        <w:ind w:left="0"/>
        <w:jc w:val="both"/>
      </w:pPr>
      <w:r>
        <w:rPr>
          <w:rFonts w:ascii="Times New Roman"/>
          <w:b w:val="false"/>
          <w:i w:val="false"/>
          <w:color w:val="000000"/>
          <w:sz w:val="28"/>
        </w:rPr>
        <w:t xml:space="preserve">
      проекта разрешения на эмиссии в окружающую среду (не более 27 (двадцати семи) календарных дней) либо мотивированного ответа об отказе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(не более 12 (двенадцати) календарных дней) – для объектов II категории;</w:t>
      </w:r>
    </w:p>
    <w:p>
      <w:pPr>
        <w:spacing w:after="0"/>
        <w:ind w:left="0"/>
        <w:jc w:val="both"/>
      </w:pPr>
      <w:r>
        <w:rPr>
          <w:rFonts w:ascii="Times New Roman"/>
          <w:b w:val="false"/>
          <w:i w:val="false"/>
          <w:color w:val="000000"/>
          <w:sz w:val="28"/>
        </w:rPr>
        <w:t xml:space="preserve">
      проекта разрешения на эмиссии в окружающую среду (не более 7 (семи) рабочих дней) либо мотивированного ответа об отказе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(не более 2 (двух) календарных дней) – для объектов III категории;</w:t>
      </w:r>
    </w:p>
    <w:p>
      <w:pPr>
        <w:spacing w:after="0"/>
        <w:ind w:left="0"/>
        <w:jc w:val="both"/>
      </w:pPr>
      <w:r>
        <w:rPr>
          <w:rFonts w:ascii="Times New Roman"/>
          <w:b w:val="false"/>
          <w:i w:val="false"/>
          <w:color w:val="000000"/>
          <w:sz w:val="28"/>
        </w:rPr>
        <w:t xml:space="preserve">
      проекта разрешения на эмиссии в окружающую среду либо мотивированного ответа об отказе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(не более 2 (двух) рабочих дней) – для объектов IV категории;</w:t>
      </w:r>
    </w:p>
    <w:p>
      <w:pPr>
        <w:spacing w:after="0"/>
        <w:ind w:left="0"/>
        <w:jc w:val="both"/>
      </w:pPr>
      <w:r>
        <w:rPr>
          <w:rFonts w:ascii="Times New Roman"/>
          <w:b w:val="false"/>
          <w:i w:val="false"/>
          <w:color w:val="000000"/>
          <w:sz w:val="28"/>
        </w:rPr>
        <w:t>
      проекта разрешения на эмиссии в окружающую среду (в течение 27 (двадцати семи) календарных дней) – в случае переоформления разрешения;</w:t>
      </w:r>
    </w:p>
    <w:p>
      <w:pPr>
        <w:spacing w:after="0"/>
        <w:ind w:left="0"/>
        <w:jc w:val="both"/>
      </w:pPr>
      <w:r>
        <w:rPr>
          <w:rFonts w:ascii="Times New Roman"/>
          <w:b w:val="false"/>
          <w:i w:val="false"/>
          <w:color w:val="000000"/>
          <w:sz w:val="28"/>
        </w:rPr>
        <w:t xml:space="preserve">
      5) рассмотрение руководителем структурного подразделения проекта разрешения на эмиссии в окружающую среду либо мотивированного ответа об отказе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40 (сорок) минут;</w:t>
      </w:r>
    </w:p>
    <w:p>
      <w:pPr>
        <w:spacing w:after="0"/>
        <w:ind w:left="0"/>
        <w:jc w:val="both"/>
      </w:pPr>
      <w:r>
        <w:rPr>
          <w:rFonts w:ascii="Times New Roman"/>
          <w:b w:val="false"/>
          <w:i w:val="false"/>
          <w:color w:val="000000"/>
          <w:sz w:val="28"/>
        </w:rPr>
        <w:t xml:space="preserve">
      6) рассмотрение руководителем услугодателя проекта разрешения на эмиссии в окружающую среду либо мотивированного ответа об отказе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40 (сорок) минут;</w:t>
      </w:r>
    </w:p>
    <w:p>
      <w:pPr>
        <w:spacing w:after="0"/>
        <w:ind w:left="0"/>
        <w:jc w:val="both"/>
      </w:pPr>
      <w:r>
        <w:rPr>
          <w:rFonts w:ascii="Times New Roman"/>
          <w:b w:val="false"/>
          <w:i w:val="false"/>
          <w:color w:val="000000"/>
          <w:sz w:val="28"/>
        </w:rPr>
        <w:t>
      7) направление результата оказания государственной услуги услугополучателю или в Государственную корпорацию либо направление в "личный кабинет" услугополучателя в форме электронного документа, подписанного ЭЦП – 20 (двадцать) минут.</w:t>
      </w:r>
    </w:p>
    <w:bookmarkStart w:name="z17" w:id="13"/>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3"/>
    <w:bookmarkStart w:name="z18" w:id="14"/>
    <w:p>
      <w:pPr>
        <w:spacing w:after="0"/>
        <w:ind w:left="0"/>
        <w:jc w:val="both"/>
      </w:pPr>
      <w:r>
        <w:rPr>
          <w:rFonts w:ascii="Times New Roman"/>
          <w:b w:val="false"/>
          <w:i w:val="false"/>
          <w:color w:val="000000"/>
          <w:sz w:val="28"/>
        </w:rPr>
        <w:t>
      6. Перечень структурных подразделений (работников) услугодателя, участвующих в процессе оказания государственной услуги:</w:t>
      </w:r>
    </w:p>
    <w:bookmarkEnd w:id="14"/>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19" w:id="15"/>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5"/>
    <w:bookmarkStart w:name="z20" w:id="16"/>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w:t>
      </w:r>
      <w:r>
        <w:br/>
      </w:r>
      <w:r>
        <w:rPr>
          <w:rFonts w:ascii="Times New Roman"/>
          <w:b/>
          <w:i w:val="false"/>
          <w:color w:val="000000"/>
        </w:rPr>
        <w:t>иными услугодателями,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16"/>
    <w:bookmarkStart w:name="z21" w:id="17"/>
    <w:p>
      <w:pPr>
        <w:spacing w:after="0"/>
        <w:ind w:left="0"/>
        <w:jc w:val="both"/>
      </w:pPr>
      <w:r>
        <w:rPr>
          <w:rFonts w:ascii="Times New Roman"/>
          <w:b w:val="false"/>
          <w:i w:val="false"/>
          <w:color w:val="000000"/>
          <w:sz w:val="28"/>
        </w:rPr>
        <w:t>
      8. Описание порядка обращения в Государственную корпорацию, длительность обработки запроса услугодателя:</w:t>
      </w:r>
    </w:p>
    <w:bookmarkEnd w:id="17"/>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заявки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w:t>
      </w:r>
      <w:r>
        <w:rPr>
          <w:rFonts w:ascii="Times New Roman"/>
          <w:b w:val="false"/>
          <w:i w:val="false"/>
          <w:color w:val="000000"/>
          <w:sz w:val="28"/>
        </w:rPr>
        <w:t>Стандартом</w:t>
      </w:r>
      <w:r>
        <w:rPr>
          <w:rFonts w:ascii="Times New Roman"/>
          <w:b w:val="false"/>
          <w:i w:val="false"/>
          <w:color w:val="000000"/>
          <w:sz w:val="28"/>
        </w:rPr>
        <w:t xml:space="preserve">,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w:t>
      </w:r>
    </w:p>
    <w:p>
      <w:pPr>
        <w:spacing w:after="0"/>
        <w:ind w:left="0"/>
        <w:jc w:val="both"/>
      </w:pPr>
      <w:r>
        <w:rPr>
          <w:rFonts w:ascii="Times New Roman"/>
          <w:b w:val="false"/>
          <w:i w:val="false"/>
          <w:color w:val="000000"/>
          <w:sz w:val="28"/>
        </w:rPr>
        <w:t>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Максимально допустимое время обслуживания услугополучателя – 20 (двадцать) минут.</w:t>
      </w:r>
    </w:p>
    <w:p>
      <w:pPr>
        <w:spacing w:after="0"/>
        <w:ind w:left="0"/>
        <w:jc w:val="both"/>
      </w:pPr>
      <w:r>
        <w:rPr>
          <w:rFonts w:ascii="Times New Roman"/>
          <w:b w:val="false"/>
          <w:i w:val="false"/>
          <w:color w:val="000000"/>
          <w:sz w:val="28"/>
        </w:rPr>
        <w:t>
      4) Услугодатель подготавливает разрешение на эмиссии в окружающую среду для объектов II, III, IV категорий (либо мотивированный ответ об отказе) и направляет его в Государственную корпорацию (выдача разрешения для объектов II категории – не более 1 (одного) месяца со дня регистрации заявки, для объектов III категории – не более 10 (десяти) рабочих дней со дня регистрации заявки, для объектов IV категории – не более 5 (пяти) рабочих дней со дня регистрации заявки, переоформление разрешения – в течение 1 (одного) месяца, выдача мотивированного ответа об отказе для объектов II категории – не более 15 (пятнадцати) календарных дней со дня регистрации заявки, для объектов III категории – не более 5 (пяти) календарных дней со дня регистрации заявки);</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Start w:name="z22" w:id="18"/>
    <w:p>
      <w:pPr>
        <w:spacing w:after="0"/>
        <w:ind w:left="0"/>
        <w:jc w:val="both"/>
      </w:pPr>
      <w:r>
        <w:rPr>
          <w:rFonts w:ascii="Times New Roman"/>
          <w:b w:val="false"/>
          <w:i w:val="false"/>
          <w:color w:val="000000"/>
          <w:sz w:val="28"/>
        </w:rPr>
        <w:t>
      9. Порядок получения государственной услуги через Государственную корпорацию, действия работников Государственной корпорации при регистрации и обработке запроса услугополучателя в интегрированной информационной системе для Государственной корпорации (далее – ИИС Государственной корпорации):</w:t>
      </w:r>
    </w:p>
    <w:bookmarkEnd w:id="18"/>
    <w:p>
      <w:pPr>
        <w:spacing w:after="0"/>
        <w:ind w:left="0"/>
        <w:jc w:val="both"/>
      </w:pPr>
      <w:r>
        <w:rPr>
          <w:rFonts w:ascii="Times New Roman"/>
          <w:b w:val="false"/>
          <w:i w:val="false"/>
          <w:color w:val="000000"/>
          <w:sz w:val="28"/>
        </w:rPr>
        <w:t>
      1) процесс 1 – ввод оператором Государственной корпорации в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2) процесс 2 – выбор оператором Государственной корпорации услуги, указанной в настоящем регламенте, вывод на экран формы запроса для оказания услуги и ввод оператором Государственной корпорации данных услугополучателя, а также данных по достоверности представителя услугополучателя (при нотариально удостоверенной доверенности, при ином удостоверении доверенности – данные доверенности не заполняются);</w:t>
      </w:r>
    </w:p>
    <w:p>
      <w:pPr>
        <w:spacing w:after="0"/>
        <w:ind w:left="0"/>
        <w:jc w:val="both"/>
      </w:pPr>
      <w:r>
        <w:rPr>
          <w:rFonts w:ascii="Times New Roman"/>
          <w:b w:val="false"/>
          <w:i w:val="false"/>
          <w:color w:val="000000"/>
          <w:sz w:val="28"/>
        </w:rPr>
        <w:t>
      3) процесс 3 – направление запроса через шлюз "электронного правительства" (далее – ШЭП) в государственную базу данных "Физические лица" / государственную базу данных "Юридические лица"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4) условие 1 – проверка наличия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8) процесс 7 – регистрация электронного документа в ИС ГБД "Е-лицензирование";</w:t>
      </w:r>
    </w:p>
    <w:p>
      <w:pPr>
        <w:spacing w:after="0"/>
        <w:ind w:left="0"/>
        <w:jc w:val="both"/>
      </w:pPr>
      <w:r>
        <w:rPr>
          <w:rFonts w:ascii="Times New Roman"/>
          <w:b w:val="false"/>
          <w:i w:val="false"/>
          <w:color w:val="000000"/>
          <w:sz w:val="28"/>
        </w:rPr>
        <w:t>
      9) условие 2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10) процесс 8 – формирование сообщения об отказе в запрашиваемой услуге в связи с имеющимися нарушениями в документах услугополучателя в ИС ГБД "Е-лицензирование";</w:t>
      </w:r>
    </w:p>
    <w:p>
      <w:pPr>
        <w:spacing w:after="0"/>
        <w:ind w:left="0"/>
        <w:jc w:val="both"/>
      </w:pPr>
      <w:r>
        <w:rPr>
          <w:rFonts w:ascii="Times New Roman"/>
          <w:b w:val="false"/>
          <w:i w:val="false"/>
          <w:color w:val="000000"/>
          <w:sz w:val="28"/>
        </w:rPr>
        <w:t>
      11) процесс 9 – получение услугополучателем через оператора Государственной корпорации результата услуги, сформированного ИС ГБД "Е-лицензирование".</w:t>
      </w:r>
    </w:p>
    <w:bookmarkStart w:name="z23" w:id="19"/>
    <w:p>
      <w:pPr>
        <w:spacing w:after="0"/>
        <w:ind w:left="0"/>
        <w:jc w:val="both"/>
      </w:pPr>
      <w:r>
        <w:rPr>
          <w:rFonts w:ascii="Times New Roman"/>
          <w:b w:val="false"/>
          <w:i w:val="false"/>
          <w:color w:val="000000"/>
          <w:sz w:val="28"/>
        </w:rPr>
        <w:t>
      10.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19"/>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индивидуальный идентификационный номер/ бизнес-идентификационный номер (далее –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24" w:id="20"/>
    <w:p>
      <w:pPr>
        <w:spacing w:after="0"/>
        <w:ind w:left="0"/>
        <w:jc w:val="both"/>
      </w:pPr>
      <w:r>
        <w:rPr>
          <w:rFonts w:ascii="Times New Roman"/>
          <w:b w:val="false"/>
          <w:i w:val="false"/>
          <w:color w:val="000000"/>
          <w:sz w:val="28"/>
        </w:rPr>
        <w:t>
      11. Порядок обращения и последовательность процедур (действий) услугодателя и услугополучателя при оказании государственной услуги через услугодателя:</w:t>
      </w:r>
    </w:p>
    <w:bookmarkEnd w:id="20"/>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xml:space="preserve">
      4) процесс 3 – выбор сотрудником услугодателя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ШЭП в ГБД ФЛ/ГБД ЮЛ о данных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p>
      <w:pPr>
        <w:spacing w:after="0"/>
        <w:ind w:left="0"/>
        <w:jc w:val="both"/>
      </w:pPr>
      <w:r>
        <w:rPr>
          <w:rFonts w:ascii="Times New Roman"/>
          <w:b w:val="false"/>
          <w:i w:val="false"/>
          <w:color w:val="000000"/>
          <w:sz w:val="28"/>
        </w:rPr>
        <w:t>
      10)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12)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bookmarkStart w:name="z25" w:id="21"/>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разрешений на</w:t>
            </w:r>
            <w:r>
              <w:br/>
            </w:r>
            <w:r>
              <w:rPr>
                <w:rFonts w:ascii="Times New Roman"/>
                <w:b w:val="false"/>
                <w:i w:val="false"/>
                <w:color w:val="000000"/>
                <w:sz w:val="20"/>
              </w:rPr>
              <w:t>эмиссии в окружающую среду</w:t>
            </w:r>
            <w:r>
              <w:br/>
            </w:r>
            <w:r>
              <w:rPr>
                <w:rFonts w:ascii="Times New Roman"/>
                <w:b w:val="false"/>
                <w:i w:val="false"/>
                <w:color w:val="000000"/>
                <w:sz w:val="20"/>
              </w:rPr>
              <w:t>для объектов II, III и</w:t>
            </w:r>
            <w:r>
              <w:br/>
            </w:r>
            <w:r>
              <w:rPr>
                <w:rFonts w:ascii="Times New Roman"/>
                <w:b w:val="false"/>
                <w:i w:val="false"/>
                <w:color w:val="000000"/>
                <w:sz w:val="20"/>
              </w:rPr>
              <w:t>IV категорий"</w:t>
            </w:r>
          </w:p>
        </w:tc>
      </w:tr>
    </w:tbl>
    <w:bookmarkStart w:name="z27" w:id="22"/>
    <w:p>
      <w:pPr>
        <w:spacing w:after="0"/>
        <w:ind w:left="0"/>
        <w:jc w:val="left"/>
      </w:pPr>
      <w:r>
        <w:rPr>
          <w:rFonts w:ascii="Times New Roman"/>
          <w:b/>
          <w:i w:val="false"/>
          <w:color w:val="000000"/>
        </w:rPr>
        <w:t xml:space="preserve"> Описание порядка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93"/>
        <w:gridCol w:w="476"/>
        <w:gridCol w:w="523"/>
        <w:gridCol w:w="7675"/>
        <w:gridCol w:w="633"/>
        <w:gridCol w:w="633"/>
        <w:gridCol w:w="1251"/>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структурного подразделения (работников)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исполнитель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услугодателя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руководителю услугодателя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представленных документов, подготовка проекта разрешения на эмиссии в окружающую среду либо мотивированного ответа об отказе и направление на рассмотрение руководителю структурного подразделения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разрешения на эмиссии в окружающую среду либо мотивированного ответа об отказе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разрешения на эмиссии в окружающую среду либо мотивированного ответа об отказе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передача в Государственную корпорацию либо направление в "личный кабинет" услугополучателя разрешения на эмиссии в окружающую среду либо мотивированного ответа об отказе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разрешения на эмиссии в окружающую среду либо мотивированного ответа об отказе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эмиссии в окружающую среду либо мотивированный ответ об отказе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эмиссии в окружающую среду либо мотивированного ответа об отказе</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7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не более 27 (двадцати семи) календарных дней – для объектов II категорий, не более 7 (семи) рабочих дней – для объектов III категории, не более 2 (двух) рабочих дней – для объектов IV категории, переоформление разрешения – в течение 27 (двадцати семи) календарных дней, выдача мотивированного ответа об отказе – не более 12 (двенадцати) календарных дней для объектов II категории, не более 2 (двух) календарных дней – для объектов III категории, не более 2 (двух) рабочих дней – для объектов IV категории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для объектов II категорий - не более 1 (одного) месяца, для объектов III категории – не более 10 (десяти) рабочих дней, для объектов IV категории – не более 5 (пяти) рабочих дней; переоформление разрешения – в течение 1 (одного)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разрешений на</w:t>
            </w:r>
            <w:r>
              <w:br/>
            </w:r>
            <w:r>
              <w:rPr>
                <w:rFonts w:ascii="Times New Roman"/>
                <w:b w:val="false"/>
                <w:i w:val="false"/>
                <w:color w:val="000000"/>
                <w:sz w:val="20"/>
              </w:rPr>
              <w:t>эмиссии в окружающую среду</w:t>
            </w:r>
            <w:r>
              <w:br/>
            </w:r>
            <w:r>
              <w:rPr>
                <w:rFonts w:ascii="Times New Roman"/>
                <w:b w:val="false"/>
                <w:i w:val="false"/>
                <w:color w:val="000000"/>
                <w:sz w:val="20"/>
              </w:rPr>
              <w:t>для объектов II, III и</w:t>
            </w:r>
            <w:r>
              <w:br/>
            </w:r>
            <w:r>
              <w:rPr>
                <w:rFonts w:ascii="Times New Roman"/>
                <w:b w:val="false"/>
                <w:i w:val="false"/>
                <w:color w:val="000000"/>
                <w:sz w:val="20"/>
              </w:rPr>
              <w:t>IV категорий"</w:t>
            </w:r>
          </w:p>
        </w:tc>
      </w:tr>
    </w:tbl>
    <w:bookmarkStart w:name="z29" w:id="23"/>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при оказании государственной услуги через портал</w:t>
      </w:r>
    </w:p>
    <w:bookmarkEnd w:id="23"/>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Условные обозначения:</w:t>
      </w:r>
    </w:p>
    <w:bookmarkEnd w:id="24"/>
    <w:p>
      <w:pPr>
        <w:spacing w:after="0"/>
        <w:ind w:left="0"/>
        <w:jc w:val="left"/>
      </w:pPr>
      <w:r>
        <w:br/>
      </w:r>
    </w:p>
    <w:p>
      <w:pPr>
        <w:spacing w:after="0"/>
        <w:ind w:left="0"/>
        <w:jc w:val="both"/>
      </w:pPr>
      <w:r>
        <w:drawing>
          <wp:inline distT="0" distB="0" distL="0" distR="0">
            <wp:extent cx="69723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разрешений на</w:t>
            </w:r>
            <w:r>
              <w:br/>
            </w:r>
            <w:r>
              <w:rPr>
                <w:rFonts w:ascii="Times New Roman"/>
                <w:b w:val="false"/>
                <w:i w:val="false"/>
                <w:color w:val="000000"/>
                <w:sz w:val="20"/>
              </w:rPr>
              <w:t>эмиссии в окружающую среду</w:t>
            </w:r>
            <w:r>
              <w:br/>
            </w:r>
            <w:r>
              <w:rPr>
                <w:rFonts w:ascii="Times New Roman"/>
                <w:b w:val="false"/>
                <w:i w:val="false"/>
                <w:color w:val="000000"/>
                <w:sz w:val="20"/>
              </w:rPr>
              <w:t>для объектов II, III и</w:t>
            </w:r>
            <w:r>
              <w:br/>
            </w:r>
            <w:r>
              <w:rPr>
                <w:rFonts w:ascii="Times New Roman"/>
                <w:b w:val="false"/>
                <w:i w:val="false"/>
                <w:color w:val="000000"/>
                <w:sz w:val="20"/>
              </w:rPr>
              <w:t>IV категорий"</w:t>
            </w:r>
          </w:p>
        </w:tc>
      </w:tr>
    </w:tbl>
    <w:bookmarkStart w:name="z32" w:id="25"/>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разрешений на эмиссии в окружающую среду</w:t>
      </w:r>
      <w:r>
        <w:br/>
      </w:r>
      <w:r>
        <w:rPr>
          <w:rFonts w:ascii="Times New Roman"/>
          <w:b/>
          <w:i w:val="false"/>
          <w:color w:val="000000"/>
        </w:rPr>
        <w:t>для объектов II, III и IV категорий"</w:t>
      </w:r>
    </w:p>
    <w:bookmarkEnd w:id="25"/>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Условные обозначения:</w:t>
      </w:r>
    </w:p>
    <w:bookmarkEnd w:id="26"/>
    <w:p>
      <w:pPr>
        <w:spacing w:after="0"/>
        <w:ind w:left="0"/>
        <w:jc w:val="left"/>
      </w:pPr>
      <w:r>
        <w:br/>
      </w:r>
    </w:p>
    <w:p>
      <w:pPr>
        <w:spacing w:after="0"/>
        <w:ind w:left="0"/>
        <w:jc w:val="both"/>
      </w:pPr>
      <w:r>
        <w:drawing>
          <wp:inline distT="0" distB="0" distL="0" distR="0">
            <wp:extent cx="6946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ноября 2017 года</w:t>
            </w:r>
            <w:r>
              <w:br/>
            </w:r>
            <w:r>
              <w:rPr>
                <w:rFonts w:ascii="Times New Roman"/>
                <w:b w:val="false"/>
                <w:i w:val="false"/>
                <w:color w:val="000000"/>
                <w:sz w:val="20"/>
              </w:rPr>
              <w:t>№ 352/6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"22" мая 2015 года № 145/5</w:t>
            </w:r>
          </w:p>
        </w:tc>
      </w:tr>
    </w:tbl>
    <w:bookmarkStart w:name="z35" w:id="2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заключений государственной экологической экспертизы</w:t>
      </w:r>
      <w:r>
        <w:br/>
      </w:r>
      <w:r>
        <w:rPr>
          <w:rFonts w:ascii="Times New Roman"/>
          <w:b/>
          <w:i w:val="false"/>
          <w:color w:val="000000"/>
        </w:rPr>
        <w:t>для объектов II, III и IV категорий"</w:t>
      </w:r>
    </w:p>
    <w:bookmarkEnd w:id="27"/>
    <w:bookmarkStart w:name="z36" w:id="28"/>
    <w:p>
      <w:pPr>
        <w:spacing w:after="0"/>
        <w:ind w:left="0"/>
        <w:jc w:val="left"/>
      </w:pPr>
      <w:r>
        <w:rPr>
          <w:rFonts w:ascii="Times New Roman"/>
          <w:b/>
          <w:i w:val="false"/>
          <w:color w:val="000000"/>
        </w:rPr>
        <w:t xml:space="preserve"> Глава 1. Общие положения</w:t>
      </w:r>
    </w:p>
    <w:bookmarkEnd w:id="28"/>
    <w:bookmarkStart w:name="z37" w:id="29"/>
    <w:p>
      <w:pPr>
        <w:spacing w:after="0"/>
        <w:ind w:left="0"/>
        <w:jc w:val="both"/>
      </w:pPr>
      <w:r>
        <w:rPr>
          <w:rFonts w:ascii="Times New Roman"/>
          <w:b w:val="false"/>
          <w:i w:val="false"/>
          <w:color w:val="000000"/>
          <w:sz w:val="28"/>
        </w:rPr>
        <w:t>
      1. Государственная услуга "Выдача заключений государственной экологической экспертизы для объектов II, III и IV категорий"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2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xml:space="preserve">
      2) канцелярию услугодателя; </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38" w:id="30"/>
    <w:p>
      <w:pPr>
        <w:spacing w:after="0"/>
        <w:ind w:left="0"/>
        <w:jc w:val="both"/>
      </w:pPr>
      <w:r>
        <w:rPr>
          <w:rFonts w:ascii="Times New Roman"/>
          <w:b w:val="false"/>
          <w:i w:val="false"/>
          <w:color w:val="000000"/>
          <w:sz w:val="28"/>
        </w:rPr>
        <w:t>
      2. Форма оказания государственной услуги: электронная и (или) бумажная.</w:t>
      </w:r>
    </w:p>
    <w:bookmarkEnd w:id="30"/>
    <w:bookmarkStart w:name="z39" w:id="31"/>
    <w:p>
      <w:pPr>
        <w:spacing w:after="0"/>
        <w:ind w:left="0"/>
        <w:jc w:val="both"/>
      </w:pPr>
      <w:r>
        <w:rPr>
          <w:rFonts w:ascii="Times New Roman"/>
          <w:b w:val="false"/>
          <w:i w:val="false"/>
          <w:color w:val="000000"/>
          <w:sz w:val="28"/>
        </w:rPr>
        <w:t xml:space="preserve">
      3. Результат оказания государственной услуги – заключение государственной экологической экспертизы с выводом "согласовывается/не согласовывается"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заключений государственной экологической экспертизы для объектов II, III и IV категорий",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апреля 2015 года № 301 "Об утверждении стандартов государственных услуг в области охраны окружающей среды" (далее – Стандарт)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3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при необходимости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ЭПЦ) уполномоченного лица услугодателя.</w:t>
      </w:r>
    </w:p>
    <w:bookmarkStart w:name="z40" w:id="32"/>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32"/>
    <w:bookmarkStart w:name="z41" w:id="3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либо запроса в форме электронного документа, удостоверенного ЭЦП услугополучателя с приложением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33"/>
    <w:p>
      <w:pPr>
        <w:spacing w:after="0"/>
        <w:ind w:left="0"/>
        <w:jc w:val="both"/>
      </w:pPr>
      <w:r>
        <w:rPr>
          <w:rFonts w:ascii="Times New Roman"/>
          <w:b w:val="false"/>
          <w:i w:val="false"/>
          <w:color w:val="000000"/>
          <w:sz w:val="28"/>
        </w:rPr>
        <w:t>
      Услугодатель в срок не более трех рабочих дней с момента получения документов услугополучателя проверяет на полноту представленных документов. В случае установления неполноты представленных документов и (или) документов с истекшим сроком действия услугодатель в указанные сроки дает письменный мотивированный ответ об отказе в дальнейшем рассмотрении заявления.</w:t>
      </w:r>
    </w:p>
    <w:bookmarkStart w:name="z42" w:id="34"/>
    <w:p>
      <w:pPr>
        <w:spacing w:after="0"/>
        <w:ind w:left="0"/>
        <w:jc w:val="both"/>
      </w:pPr>
      <w:r>
        <w:rPr>
          <w:rFonts w:ascii="Times New Roman"/>
          <w:b w:val="false"/>
          <w:i w:val="false"/>
          <w:color w:val="000000"/>
          <w:sz w:val="28"/>
        </w:rPr>
        <w:t>
      5. Содержание процедур (действий), входящих в состав процесса оказания государственной услуги:</w:t>
      </w:r>
    </w:p>
    <w:bookmarkEnd w:id="34"/>
    <w:p>
      <w:pPr>
        <w:spacing w:after="0"/>
        <w:ind w:left="0"/>
        <w:jc w:val="both"/>
      </w:pPr>
      <w:r>
        <w:rPr>
          <w:rFonts w:ascii="Times New Roman"/>
          <w:b w:val="false"/>
          <w:i w:val="false"/>
          <w:color w:val="000000"/>
          <w:sz w:val="28"/>
        </w:rPr>
        <w:t>
      1) прием и регистрация поступивших документов сотрудником канцелярии услугодателя, направление на рассмотрение руководителю услугодателя – 20 (двадцать) минут;</w:t>
      </w:r>
    </w:p>
    <w:p>
      <w:pPr>
        <w:spacing w:after="0"/>
        <w:ind w:left="0"/>
        <w:jc w:val="both"/>
      </w:pPr>
      <w:r>
        <w:rPr>
          <w:rFonts w:ascii="Times New Roman"/>
          <w:b w:val="false"/>
          <w:i w:val="false"/>
          <w:color w:val="000000"/>
          <w:sz w:val="28"/>
        </w:rPr>
        <w:t>
      2) направление документов с резолюцией руководителя услугодателя в ответственное структурное подразделение – 40 (сорок) минут;</w:t>
      </w:r>
    </w:p>
    <w:p>
      <w:pPr>
        <w:spacing w:after="0"/>
        <w:ind w:left="0"/>
        <w:jc w:val="both"/>
      </w:pPr>
      <w:r>
        <w:rPr>
          <w:rFonts w:ascii="Times New Roman"/>
          <w:b w:val="false"/>
          <w:i w:val="false"/>
          <w:color w:val="000000"/>
          <w:sz w:val="28"/>
        </w:rPr>
        <w:t>
      3) определение ответственного исполнителя руководителем структурного подразделения для рассмотрения принятых документов – 40 (сорок) минут;</w:t>
      </w:r>
    </w:p>
    <w:p>
      <w:pPr>
        <w:spacing w:after="0"/>
        <w:ind w:left="0"/>
        <w:jc w:val="both"/>
      </w:pPr>
      <w:r>
        <w:rPr>
          <w:rFonts w:ascii="Times New Roman"/>
          <w:b w:val="false"/>
          <w:i w:val="false"/>
          <w:color w:val="000000"/>
          <w:sz w:val="28"/>
        </w:rPr>
        <w:t xml:space="preserve">
      4) рассмотрение ответственным исполнителем представленных документов на полноту, проведение экспертизы, подготовка проекта заключения государственной экологической экспертизы либо мотивированного ответа об отказе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и направление результата на рассмотрение руководителю структурного подразделения (выдача заключения государственной экологической экспертизы для объектов II категорий – не более 27 (двадцати семи) календарных дней, для объектов III и IV категорий – не более 7 (семи) рабочих дней, выдача повторного заключения государственной экологической экспертизы для объектов II категории – не более 7 (семи) рабочих дней, для объектов III и IV категорий – не более 2 (двух) рабочих дней, выдача мотивированного ответа об отказе (предварительная экспертиза) – не более 3 (трех) рабочих дней со дня регистрации заявления);</w:t>
      </w:r>
    </w:p>
    <w:p>
      <w:pPr>
        <w:spacing w:after="0"/>
        <w:ind w:left="0"/>
        <w:jc w:val="both"/>
      </w:pPr>
      <w:r>
        <w:rPr>
          <w:rFonts w:ascii="Times New Roman"/>
          <w:b w:val="false"/>
          <w:i w:val="false"/>
          <w:color w:val="000000"/>
          <w:sz w:val="28"/>
        </w:rPr>
        <w:t>
      5) рассмотрение и подписание руководителем структурного подразделения заключения государственной экологической экспертизы – 40 (сорок) минут;</w:t>
      </w:r>
    </w:p>
    <w:p>
      <w:pPr>
        <w:spacing w:after="0"/>
        <w:ind w:left="0"/>
        <w:jc w:val="both"/>
      </w:pPr>
      <w:r>
        <w:rPr>
          <w:rFonts w:ascii="Times New Roman"/>
          <w:b w:val="false"/>
          <w:i w:val="false"/>
          <w:color w:val="000000"/>
          <w:sz w:val="28"/>
        </w:rPr>
        <w:t>
      6) направление результата оказания государственной услуги услугополучателю или в Государственную корпорацию, либо направление в "личный кабинет" услугополучателя в форме электронного документа, подписанного ЭЦП 20 (двадцать) минут.</w:t>
      </w:r>
    </w:p>
    <w:bookmarkStart w:name="z43" w:id="35"/>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35"/>
    <w:bookmarkStart w:name="z44" w:id="36"/>
    <w:p>
      <w:pPr>
        <w:spacing w:after="0"/>
        <w:ind w:left="0"/>
        <w:jc w:val="both"/>
      </w:pPr>
      <w:r>
        <w:rPr>
          <w:rFonts w:ascii="Times New Roman"/>
          <w:b w:val="false"/>
          <w:i w:val="false"/>
          <w:color w:val="000000"/>
          <w:sz w:val="28"/>
        </w:rPr>
        <w:t>
      6. Перечень структурных подразделений (работников) услугодателя, участвующих в процессе оказания государственной услуги:</w:t>
      </w:r>
    </w:p>
    <w:bookmarkEnd w:id="36"/>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45" w:id="37"/>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37"/>
    <w:bookmarkStart w:name="z46" w:id="38"/>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w:t>
      </w:r>
      <w:r>
        <w:br/>
      </w:r>
      <w:r>
        <w:rPr>
          <w:rFonts w:ascii="Times New Roman"/>
          <w:b/>
          <w:i w:val="false"/>
          <w:color w:val="000000"/>
        </w:rPr>
        <w:t>иными услугодателями,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38"/>
    <w:bookmarkStart w:name="z47" w:id="39"/>
    <w:p>
      <w:pPr>
        <w:spacing w:after="0"/>
        <w:ind w:left="0"/>
        <w:jc w:val="both"/>
      </w:pPr>
      <w:r>
        <w:rPr>
          <w:rFonts w:ascii="Times New Roman"/>
          <w:b w:val="false"/>
          <w:i w:val="false"/>
          <w:color w:val="000000"/>
          <w:sz w:val="28"/>
        </w:rPr>
        <w:t>
      8. Описание порядка обращения в Государственную корпорацию, длительность обработки запроса услугополучателя:</w:t>
      </w:r>
    </w:p>
    <w:bookmarkEnd w:id="39"/>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Стандартом,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соответствующих документов.</w:t>
      </w:r>
    </w:p>
    <w:p>
      <w:pPr>
        <w:spacing w:after="0"/>
        <w:ind w:left="0"/>
        <w:jc w:val="both"/>
      </w:pPr>
      <w:r>
        <w:rPr>
          <w:rFonts w:ascii="Times New Roman"/>
          <w:b w:val="false"/>
          <w:i w:val="false"/>
          <w:color w:val="000000"/>
          <w:sz w:val="28"/>
        </w:rPr>
        <w:t>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Максимально допустимое время обслуживания услугополучателя в день обращения – 20 (двадцать) минут.</w:t>
      </w:r>
    </w:p>
    <w:p>
      <w:pPr>
        <w:spacing w:after="0"/>
        <w:ind w:left="0"/>
        <w:jc w:val="both"/>
      </w:pPr>
      <w:r>
        <w:rPr>
          <w:rFonts w:ascii="Times New Roman"/>
          <w:b w:val="false"/>
          <w:i w:val="false"/>
          <w:color w:val="000000"/>
          <w:sz w:val="28"/>
        </w:rPr>
        <w:t>
      4) Услугодатель подготавливает заключение государственной экологической экспертизы (либо мотивированный ответ об отказе в дальнейшем рассмотрении заявления) и направляет его в Государственную корпорацию (выдача заключения государственной экологической экспертизы для объектов II категории – не более 1 (одного) месяца со дня регистрации заявления, для объектов III и IV категорий – не более 10 (десяти) рабочих дней со дня регистрации заявления, выдача повторного заключения государственной экологической экспертизы для объектов II категории – не более 10 (десяти) рабочих дней со дня регистрации заявления, для объектов III и IV категорий – не более 5 (пяти) рабочих дней со дня регистрации заявления, выдача мотивированного ответа об отказе в дальнейшем рассмотрении заявления (предварительная экспертиза) – не более 3 (трех) рабочих дней со дня регистрации заявления);</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представителя по нотариально заверенной доверенности).</w:t>
      </w:r>
    </w:p>
    <w:bookmarkStart w:name="z48" w:id="40"/>
    <w:p>
      <w:pPr>
        <w:spacing w:after="0"/>
        <w:ind w:left="0"/>
        <w:jc w:val="both"/>
      </w:pPr>
      <w:r>
        <w:rPr>
          <w:rFonts w:ascii="Times New Roman"/>
          <w:b w:val="false"/>
          <w:i w:val="false"/>
          <w:color w:val="000000"/>
          <w:sz w:val="28"/>
        </w:rPr>
        <w:t>
      9. Порядок получения государственной услуги через Государственную корпорацию, действия работников Государственной корпорации при регистрации и обработке запроса услугополучателя в интегрированной информационной системе для Государственной корпорации (далее – ИИС Государственной корпорации):</w:t>
      </w:r>
    </w:p>
    <w:bookmarkEnd w:id="40"/>
    <w:p>
      <w:pPr>
        <w:spacing w:after="0"/>
        <w:ind w:left="0"/>
        <w:jc w:val="both"/>
      </w:pPr>
      <w:r>
        <w:rPr>
          <w:rFonts w:ascii="Times New Roman"/>
          <w:b w:val="false"/>
          <w:i w:val="false"/>
          <w:color w:val="000000"/>
          <w:sz w:val="28"/>
        </w:rPr>
        <w:t>
      1) процесс 1 – ввод оператором Государственной корпорации в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2) процесс 2 – выбор оператором Государственной корпорации услуги, указанной в настоящем регламенте, вывод на экран формы запроса для оказания услуги и ввод оператором Государственной корпорации данных услугополучателя, а также данных по достоверности представителя услугополучателя (при нотариально удостоверенной доверенности, при ином удостоверении доверенности – данные доверенности не заполняются);</w:t>
      </w:r>
    </w:p>
    <w:p>
      <w:pPr>
        <w:spacing w:after="0"/>
        <w:ind w:left="0"/>
        <w:jc w:val="both"/>
      </w:pPr>
      <w:r>
        <w:rPr>
          <w:rFonts w:ascii="Times New Roman"/>
          <w:b w:val="false"/>
          <w:i w:val="false"/>
          <w:color w:val="000000"/>
          <w:sz w:val="28"/>
        </w:rPr>
        <w:t>
      3) процесс 3 – направление запроса через шлюз "электронного правительства" (далее – ШЭП) в государственную базу данных "Физические лица"/ государственную базу данных "Юридические лица"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4) условие 1 – проверка наличия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8) процесс 7 – регистрация электронного документа в ИС ГБД "Е-лицензирование";</w:t>
      </w:r>
    </w:p>
    <w:p>
      <w:pPr>
        <w:spacing w:after="0"/>
        <w:ind w:left="0"/>
        <w:jc w:val="both"/>
      </w:pPr>
      <w:r>
        <w:rPr>
          <w:rFonts w:ascii="Times New Roman"/>
          <w:b w:val="false"/>
          <w:i w:val="false"/>
          <w:color w:val="000000"/>
          <w:sz w:val="28"/>
        </w:rPr>
        <w:t>
      9) условие 2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10) процесс 8 – формирование сообщения об отказе в запрашиваемой услуге в связи с имеющимися нарушениями в документах услугополучателя в ИС ГБД "Е-лицензирование";</w:t>
      </w:r>
    </w:p>
    <w:p>
      <w:pPr>
        <w:spacing w:after="0"/>
        <w:ind w:left="0"/>
        <w:jc w:val="both"/>
      </w:pPr>
      <w:r>
        <w:rPr>
          <w:rFonts w:ascii="Times New Roman"/>
          <w:b w:val="false"/>
          <w:i w:val="false"/>
          <w:color w:val="000000"/>
          <w:sz w:val="28"/>
        </w:rPr>
        <w:t>
      11) процесс 9 – получение услугополучателем через оператора Государственной корпорации результата услуги, сформированного ИС ГБД "Е-лицензирование".</w:t>
      </w:r>
    </w:p>
    <w:bookmarkStart w:name="z49" w:id="41"/>
    <w:p>
      <w:pPr>
        <w:spacing w:after="0"/>
        <w:ind w:left="0"/>
        <w:jc w:val="both"/>
      </w:pPr>
      <w:r>
        <w:rPr>
          <w:rFonts w:ascii="Times New Roman"/>
          <w:b w:val="false"/>
          <w:i w:val="false"/>
          <w:color w:val="000000"/>
          <w:sz w:val="28"/>
        </w:rPr>
        <w:t>
      10.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41"/>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индивидуальный идентификационный номер/ бизнес-идентификационный номер (далее –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перечню документов, указанному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50" w:id="42"/>
    <w:p>
      <w:pPr>
        <w:spacing w:after="0"/>
        <w:ind w:left="0"/>
        <w:jc w:val="both"/>
      </w:pPr>
      <w:r>
        <w:rPr>
          <w:rFonts w:ascii="Times New Roman"/>
          <w:b w:val="false"/>
          <w:i w:val="false"/>
          <w:color w:val="000000"/>
          <w:sz w:val="28"/>
        </w:rPr>
        <w:t>
      11. Порядок обращения и последовательность процедур (действий) услугодателя и услугополучателя при оказании государственной услуги через услугодателя:</w:t>
      </w:r>
    </w:p>
    <w:bookmarkEnd w:id="42"/>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xml:space="preserve">
      4) процесс 3 – выбор сотрудником услугодателя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ШЭП в ГБД ФЛ/ГБД ЮЛ о данных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p>
      <w:pPr>
        <w:spacing w:after="0"/>
        <w:ind w:left="0"/>
        <w:jc w:val="both"/>
      </w:pPr>
      <w:r>
        <w:rPr>
          <w:rFonts w:ascii="Times New Roman"/>
          <w:b w:val="false"/>
          <w:i w:val="false"/>
          <w:color w:val="000000"/>
          <w:sz w:val="28"/>
        </w:rPr>
        <w:t>
      10)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12)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bookmarkStart w:name="z51" w:id="43"/>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заключений</w:t>
            </w:r>
            <w:r>
              <w:br/>
            </w:r>
            <w:r>
              <w:rPr>
                <w:rFonts w:ascii="Times New Roman"/>
                <w:b w:val="false"/>
                <w:i w:val="false"/>
                <w:color w:val="000000"/>
                <w:sz w:val="20"/>
              </w:rPr>
              <w:t>государственной экологической</w:t>
            </w:r>
            <w:r>
              <w:br/>
            </w:r>
            <w:r>
              <w:rPr>
                <w:rFonts w:ascii="Times New Roman"/>
                <w:b w:val="false"/>
                <w:i w:val="false"/>
                <w:color w:val="000000"/>
                <w:sz w:val="20"/>
              </w:rPr>
              <w:t>экспертизы для объектов II, III и</w:t>
            </w:r>
            <w:r>
              <w:br/>
            </w:r>
            <w:r>
              <w:rPr>
                <w:rFonts w:ascii="Times New Roman"/>
                <w:b w:val="false"/>
                <w:i w:val="false"/>
                <w:color w:val="000000"/>
                <w:sz w:val="20"/>
              </w:rPr>
              <w:t>IV категорий"</w:t>
            </w:r>
          </w:p>
        </w:tc>
      </w:tr>
    </w:tbl>
    <w:bookmarkStart w:name="z53" w:id="44"/>
    <w:p>
      <w:pPr>
        <w:spacing w:after="0"/>
        <w:ind w:left="0"/>
        <w:jc w:val="left"/>
      </w:pPr>
      <w:r>
        <w:rPr>
          <w:rFonts w:ascii="Times New Roman"/>
          <w:b/>
          <w:i w:val="false"/>
          <w:color w:val="000000"/>
        </w:rPr>
        <w:t xml:space="preserve"> Описание порядка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52"/>
        <w:gridCol w:w="533"/>
        <w:gridCol w:w="586"/>
        <w:gridCol w:w="7622"/>
        <w:gridCol w:w="813"/>
        <w:gridCol w:w="1504"/>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структурного подразделения (работников)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исполнитель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руководителю услугодателя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на полноту, проведение экспертизы, подготовка проекта заключения государственной экологической экспертизы либо мотивированного ответа об отказе в дальнейшем рассмотрении заявления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заключения государственной экологической экспертизы либо мотивированного ответа об отказе в дальнейшем рассмотрении заявления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государственной экологической экспертизы либо мотивированного ответа об отказе в дальнейшем рассмотрении заявления, передача в Государственную корпорацию либо направление в "личный кабинет" услугополучателя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заключения государственной экологической экспертизы либо мотивированного ответа об отказе в дальнейшем рассмотрении заявления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 либо мотивированный ответ об отказе в дальнейшем рассмотрении заявления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государственной экологической экспертизы либо мотивированного ответа об отказе в дальнейшем рассмотрении заявления</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7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государственной экологической экспертизы для объектов II категории – не более 27 (двадцати семи) календарных дней, для объектов III и IV категорий – не более 7 (семи) рабочих дней, выдача повторного заключения государственной экологической экспертизы для объектов II категории – не более 7 (семи) рабочих дней, для объектов III и IV категорий – не более 2 (двух) рабочих дней, выдача мотивированного ответа об отказе в дальнейшем рассмотрении заявления (предварительная экспертиза) – не более 3 (трех) рабочих дней со дня регистрации заявления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(сорок) минут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государственной экологической экспертизы для объектов II категории – не более 1 (одного) месяца, для объектов III и IV категорий – не более 10 (десяти) рабочих дней; выдача повторного заключения государственной экологической экспертизы для объектов II категории – не более 10 (десяти) рабочих дней, для объектов III и IV категорий – не более 5 (пяти)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заключений</w:t>
            </w:r>
            <w:r>
              <w:br/>
            </w:r>
            <w:r>
              <w:rPr>
                <w:rFonts w:ascii="Times New Roman"/>
                <w:b w:val="false"/>
                <w:i w:val="false"/>
                <w:color w:val="000000"/>
                <w:sz w:val="20"/>
              </w:rPr>
              <w:t>государственной экологической</w:t>
            </w:r>
            <w:r>
              <w:br/>
            </w:r>
            <w:r>
              <w:rPr>
                <w:rFonts w:ascii="Times New Roman"/>
                <w:b w:val="false"/>
                <w:i w:val="false"/>
                <w:color w:val="000000"/>
                <w:sz w:val="20"/>
              </w:rPr>
              <w:t>экспертизы для объектов II, III и</w:t>
            </w:r>
            <w:r>
              <w:br/>
            </w:r>
            <w:r>
              <w:rPr>
                <w:rFonts w:ascii="Times New Roman"/>
                <w:b w:val="false"/>
                <w:i w:val="false"/>
                <w:color w:val="000000"/>
                <w:sz w:val="20"/>
              </w:rPr>
              <w:t>IV категорий"</w:t>
            </w:r>
          </w:p>
        </w:tc>
      </w:tr>
    </w:tbl>
    <w:bookmarkStart w:name="z55" w:id="45"/>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при оказании государственной услуги через портал</w:t>
      </w:r>
    </w:p>
    <w:bookmarkEnd w:id="45"/>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left"/>
      </w:pPr>
      <w:r>
        <w:rPr>
          <w:rFonts w:ascii="Times New Roman"/>
          <w:b/>
          <w:i w:val="false"/>
          <w:color w:val="000000"/>
        </w:rPr>
        <w:t xml:space="preserve"> Условные обозначения:</w:t>
      </w:r>
    </w:p>
    <w:bookmarkEnd w:id="46"/>
    <w:p>
      <w:pPr>
        <w:spacing w:after="0"/>
        <w:ind w:left="0"/>
        <w:jc w:val="left"/>
      </w:pPr>
      <w:r>
        <w:br/>
      </w:r>
    </w:p>
    <w:p>
      <w:pPr>
        <w:spacing w:after="0"/>
        <w:ind w:left="0"/>
        <w:jc w:val="both"/>
      </w:pPr>
      <w:r>
        <w:drawing>
          <wp:inline distT="0" distB="0" distL="0" distR="0">
            <wp:extent cx="65278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278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заключений</w:t>
            </w:r>
            <w:r>
              <w:br/>
            </w:r>
            <w:r>
              <w:rPr>
                <w:rFonts w:ascii="Times New Roman"/>
                <w:b w:val="false"/>
                <w:i w:val="false"/>
                <w:color w:val="000000"/>
                <w:sz w:val="20"/>
              </w:rPr>
              <w:t>государственной экологической</w:t>
            </w:r>
            <w:r>
              <w:br/>
            </w:r>
            <w:r>
              <w:rPr>
                <w:rFonts w:ascii="Times New Roman"/>
                <w:b w:val="false"/>
                <w:i w:val="false"/>
                <w:color w:val="000000"/>
                <w:sz w:val="20"/>
              </w:rPr>
              <w:t>экспертизы для объектов II, III и</w:t>
            </w:r>
            <w:r>
              <w:br/>
            </w:r>
            <w:r>
              <w:rPr>
                <w:rFonts w:ascii="Times New Roman"/>
                <w:b w:val="false"/>
                <w:i w:val="false"/>
                <w:color w:val="000000"/>
                <w:sz w:val="20"/>
              </w:rPr>
              <w:t>IV категорий"</w:t>
            </w:r>
          </w:p>
        </w:tc>
      </w:tr>
    </w:tbl>
    <w:bookmarkStart w:name="z58" w:id="47"/>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заключений государственной экологической экспертизы</w:t>
      </w:r>
      <w:r>
        <w:br/>
      </w:r>
      <w:r>
        <w:rPr>
          <w:rFonts w:ascii="Times New Roman"/>
          <w:b/>
          <w:i w:val="false"/>
          <w:color w:val="000000"/>
        </w:rPr>
        <w:t>для объектов II, III и IV категорий"</w:t>
      </w:r>
    </w:p>
    <w:bookmarkEnd w:id="47"/>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8"/>
    <w:p>
      <w:pPr>
        <w:spacing w:after="0"/>
        <w:ind w:left="0"/>
        <w:jc w:val="left"/>
      </w:pPr>
      <w:r>
        <w:rPr>
          <w:rFonts w:ascii="Times New Roman"/>
          <w:b/>
          <w:i w:val="false"/>
          <w:color w:val="000000"/>
        </w:rPr>
        <w:t xml:space="preserve"> Условные обозначения:</w:t>
      </w:r>
    </w:p>
    <w:bookmarkEnd w:id="48"/>
    <w:p>
      <w:pPr>
        <w:spacing w:after="0"/>
        <w:ind w:left="0"/>
        <w:jc w:val="left"/>
      </w:pPr>
      <w:r>
        <w:br/>
      </w:r>
    </w:p>
    <w:p>
      <w:pPr>
        <w:spacing w:after="0"/>
        <w:ind w:left="0"/>
        <w:jc w:val="both"/>
      </w:pPr>
      <w:r>
        <w:drawing>
          <wp:inline distT="0" distB="0" distL="0" distR="0">
            <wp:extent cx="66421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421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