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e0aa" w14:textId="0cfe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31 марта 2017 года № 77/3. Зарегистрировано Департаментом юстиции Павлодарской области 28 апреля 2017 года № 5483. Утратило силу постановлением акимата Баянаульского района Павлодарской области от 23 апреля 2018 года № 127/4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23.04.2018 № 127/4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12 февраля 2016 года № 45/02 "Об утверждении методики оценки деятельности административных государственных служащих корпуса "Б" исполнительных органов акимата Баянаульского района" (зарегистрировано в Реестре государственной регистрации нормативных правовых актов за № 4951, опубликованное 18 марта 2016 года в районной газете "Баянтау" за № 12).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Баянаульского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2017 года № 77/3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Баянаульского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Баянаульского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Баянаульского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(кадровая служба) аппарата акима Баянаульского района (далее – служба управления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общего отдела аппарата акима Баянаульскго района (далее - общий отдел)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общим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стратегической цели (целей) государственного органа,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