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b65a" w14:textId="4cdb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Наурызбайского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Наурызбайского района города Алматы от 9 марта 2017 года № 2. Зарегистрировано Департаментом юстиции города Алматы 31 марта 2017 года № 1361. Утратило силу решением акима Наурызбайского района города Алматы от 27 марта 2018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Наурызбайского района города Алматы от 27.03.2018 № 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 Наурызбайского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Наурызбайского района города Алматы.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Наурызбайского района города Алматы от 8 февраля 2016 года № 2 "Об утверждении Методики оценки деятельности административных государственных служащих корпуса "Б" аппарата акима Наурызбайского района города Алматы" (зарегистрированное Департаментом юстиции города Алматы 03 марта 2016 года № 1258).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Аппарату акима Наурызбайского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 – ресурсе аппарата акима Наурызбайского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руководителя аппарата акима Наурызбайского района города Алматы Нысаналиева М.Н.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Сайфеденов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2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акима</w:t>
      </w:r>
      <w:r>
        <w:br/>
      </w:r>
      <w:r>
        <w:rPr>
          <w:rFonts w:ascii="Times New Roman"/>
          <w:b/>
          <w:i w:val="false"/>
          <w:color w:val="000000"/>
        </w:rPr>
        <w:t>Наурызбайского района города Алматы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(кадровая служба) (далее -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акима Наурызбайского района города Алматы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акима Наурызбайского района города Алматы,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организационной работы и документационного обеспечения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отдела организационной работы и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 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"неудовлетворительно"; от 3 до 3,9 баллов – "удовлетворительно"; от 4 до 4,9 баллов – "эффективно"; 5 баллов – "превосходно".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департамент по городу Алматы Агентства Республики Казахстан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Департамент по городу Алматы Агентства Республики Казахстан по делам государственной службы и противодействию коррупции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Наурызбайского района города Алматы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Наурызбайского района города Алматы в течение двух недель в департамент по городу Алматы Агентства Республики Казахстан по делам государственной службы и противодействию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942"/>
        <w:gridCol w:w="1687"/>
        <w:gridCol w:w="1687"/>
        <w:gridCol w:w="1942"/>
        <w:gridCol w:w="1687"/>
        <w:gridCol w:w="1687"/>
        <w:gridCol w:w="749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