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1b34" w14:textId="0cd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Северо-Казахстанской области от 20 февраля 2017 года № 9/11. Зарегистрировано Департаментом юстиции Северо-Казахстанской области 16 марта 2017 года № 4104. Утратило силу решением маслихата Жамбылского района Северо-Казахстанской области от 8 июня 2020 года № 49/6</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08.06.2020 </w:t>
      </w:r>
      <w:r>
        <w:rPr>
          <w:rFonts w:ascii="Times New Roman"/>
          <w:b w:val="false"/>
          <w:i w:val="false"/>
          <w:color w:val="ff0000"/>
          <w:sz w:val="28"/>
        </w:rPr>
        <w:t>№ 49/6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Жамбылский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к настоящему решению Правила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IX очередной </w:t>
            </w:r>
            <w:r>
              <w:br/>
            </w:r>
            <w:r>
              <w:rPr>
                <w:rFonts w:ascii="Times New Roman"/>
                <w:b w:val="false"/>
                <w:i/>
                <w:color w:val="000000"/>
                <w:sz w:val="20"/>
              </w:rPr>
              <w:t xml:space="preserve">сессии маслихата </w:t>
            </w:r>
            <w:r>
              <w:br/>
            </w:r>
            <w:r>
              <w:rPr>
                <w:rFonts w:ascii="Times New Roman"/>
                <w:b w:val="false"/>
                <w:i/>
                <w:color w:val="000000"/>
                <w:sz w:val="20"/>
              </w:rPr>
              <w:t>Жамбылского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Жамбылского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Жамбылского районного Северо-Казахстанской области от 20 февраля 2017 года № 9/11</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Жамбылского района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Жамбылского района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Жамбылского районного маслихата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Жамбылского районного маслихата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темно синего цвета, размером 19 х 6,5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xml:space="preserve">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ЖАМБЫЛ АУДАНЫ МӘСЛИХАТЫНЫҢ АППАРАТЫ", "АППАРАТ МАСЛИХАТА ЖАМБЫЛСКОГО РАЙОНА СЕВЕРО-КАЗАХСТАНСКОЙ ОБЛАСТИ". </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помощником секретаря маслихата по кадровой работе.</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описание</w:t>
            </w:r>
          </w:p>
        </w:tc>
      </w:tr>
    </w:tbl>
    <w:bookmarkStart w:name="z42" w:id="34"/>
    <w:p>
      <w:pPr>
        <w:spacing w:after="0"/>
        <w:ind w:left="0"/>
        <w:jc w:val="left"/>
      </w:pPr>
      <w:r>
        <w:rPr>
          <w:rFonts w:ascii="Times New Roman"/>
          <w:b/>
          <w:i w:val="false"/>
          <w:color w:val="000000"/>
        </w:rPr>
        <w:t xml:space="preserve"> Журнал выдачи и возврата служебных удостоверений КГУ "Аппарат маслихата Жамбылского района Северо-Казахстанской области"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r>
              <w:br/>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Примечание: Журнал выдачи и возврата служебных удостоверений КГУ "Аппарата маслихата Жамбылского района Северо-Казахстанской области" прошнуровывается, пронумеровывается и заверяется подписью и гербовой печатью кадровой службы.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выдачи служебного удостоверения коммунального государственного учреждения "Аппарат маслихата Жамбылского района Северо-Казахстанской области" и его описание</w:t>
            </w:r>
          </w:p>
        </w:tc>
      </w:tr>
    </w:tbl>
    <w:bookmarkStart w:name="z49" w:id="37"/>
    <w:p>
      <w:pPr>
        <w:spacing w:after="0"/>
        <w:ind w:left="0"/>
        <w:jc w:val="both"/>
      </w:pPr>
      <w:r>
        <w:rPr>
          <w:rFonts w:ascii="Times New Roman"/>
          <w:b w:val="false"/>
          <w:i w:val="false"/>
          <w:color w:val="000000"/>
          <w:sz w:val="28"/>
        </w:rPr>
        <w:t>
      Форма</w:t>
      </w:r>
    </w:p>
    <w:bookmarkEnd w:id="37"/>
    <w:bookmarkStart w:name="z50" w:id="38"/>
    <w:p>
      <w:pPr>
        <w:spacing w:after="0"/>
        <w:ind w:left="0"/>
        <w:jc w:val="both"/>
      </w:pPr>
      <w:r>
        <w:rPr>
          <w:rFonts w:ascii="Times New Roman"/>
          <w:b w:val="false"/>
          <w:i w:val="false"/>
          <w:color w:val="000000"/>
          <w:sz w:val="28"/>
        </w:rPr>
        <w:t>
      Наименование организации</w:t>
      </w:r>
    </w:p>
    <w:bookmarkEnd w:id="38"/>
    <w:bookmarkStart w:name="z51" w:id="39"/>
    <w:p>
      <w:pPr>
        <w:spacing w:after="0"/>
        <w:ind w:left="0"/>
        <w:jc w:val="left"/>
      </w:pPr>
      <w:r>
        <w:rPr>
          <w:rFonts w:ascii="Times New Roman"/>
          <w:b/>
          <w:i w:val="false"/>
          <w:color w:val="000000"/>
        </w:rPr>
        <w:t xml:space="preserve"> АКТ</w:t>
      </w:r>
    </w:p>
    <w:bookmarkEnd w:id="39"/>
    <w:bookmarkStart w:name="z52" w:id="40"/>
    <w:p>
      <w:pPr>
        <w:spacing w:after="0"/>
        <w:ind w:left="0"/>
        <w:jc w:val="both"/>
      </w:pPr>
      <w:r>
        <w:rPr>
          <w:rFonts w:ascii="Times New Roman"/>
          <w:b w:val="false"/>
          <w:i w:val="false"/>
          <w:color w:val="000000"/>
          <w:sz w:val="28"/>
        </w:rPr>
        <w:t>
      _______</w:t>
      </w:r>
    </w:p>
    <w:bookmarkEnd w:id="40"/>
    <w:bookmarkStart w:name="z53" w:id="41"/>
    <w:p>
      <w:pPr>
        <w:spacing w:after="0"/>
        <w:ind w:left="0"/>
        <w:jc w:val="both"/>
      </w:pPr>
      <w:r>
        <w:rPr>
          <w:rFonts w:ascii="Times New Roman"/>
          <w:b w:val="false"/>
          <w:i w:val="false"/>
          <w:color w:val="000000"/>
          <w:sz w:val="28"/>
        </w:rPr>
        <w:t>
      _________ № ________ ___________</w:t>
      </w:r>
      <w:r>
        <w:br/>
      </w:r>
      <w:r>
        <w:rPr>
          <w:rFonts w:ascii="Times New Roman"/>
          <w:b w:val="false"/>
          <w:i w:val="false"/>
          <w:color w:val="000000"/>
          <w:sz w:val="28"/>
        </w:rPr>
        <w:t xml:space="preserve">       место составления дата </w:t>
      </w:r>
    </w:p>
    <w:bookmarkEnd w:id="41"/>
    <w:bookmarkStart w:name="z54" w:id="42"/>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КГУ "Аппарат маслихата Жамбылского района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 </w:t>
      </w:r>
    </w:p>
    <w:bookmarkEnd w:id="42"/>
    <w:bookmarkStart w:name="z55" w:id="43"/>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3"/>
    <w:bookmarkStart w:name="z56" w:id="44"/>
    <w:p>
      <w:pPr>
        <w:spacing w:after="0"/>
        <w:ind w:left="0"/>
        <w:jc w:val="both"/>
      </w:pPr>
      <w:r>
        <w:rPr>
          <w:rFonts w:ascii="Times New Roman"/>
          <w:b w:val="false"/>
          <w:i w:val="false"/>
          <w:color w:val="000000"/>
          <w:sz w:val="28"/>
        </w:rPr>
        <w:t xml:space="preserve">
       </w:t>
      </w:r>
    </w:p>
    <w:bookmarkEnd w:id="44"/>
    <w:bookmarkStart w:name="z57" w:id="45"/>
    <w:p>
      <w:pPr>
        <w:spacing w:after="0"/>
        <w:ind w:left="0"/>
        <w:jc w:val="both"/>
      </w:pPr>
      <w:r>
        <w:rPr>
          <w:rFonts w:ascii="Times New Roman"/>
          <w:b w:val="false"/>
          <w:i w:val="false"/>
          <w:color w:val="000000"/>
          <w:sz w:val="28"/>
        </w:rPr>
        <w:t>
       Наименование должности             Подпись</w:t>
      </w:r>
    </w:p>
    <w:bookmarkEnd w:id="45"/>
    <w:bookmarkStart w:name="z58" w:id="46"/>
    <w:p>
      <w:pPr>
        <w:spacing w:after="0"/>
        <w:ind w:left="0"/>
        <w:jc w:val="both"/>
      </w:pPr>
      <w:r>
        <w:rPr>
          <w:rFonts w:ascii="Times New Roman"/>
          <w:b w:val="false"/>
          <w:i w:val="false"/>
          <w:color w:val="000000"/>
          <w:sz w:val="28"/>
        </w:rPr>
        <w:t>
       Наименование должности             Подпись</w:t>
      </w:r>
    </w:p>
    <w:bookmarkEnd w:id="46"/>
    <w:bookmarkStart w:name="z59" w:id="47"/>
    <w:p>
      <w:pPr>
        <w:spacing w:after="0"/>
        <w:ind w:left="0"/>
        <w:jc w:val="both"/>
      </w:pPr>
      <w:r>
        <w:rPr>
          <w:rFonts w:ascii="Times New Roman"/>
          <w:b w:val="false"/>
          <w:i w:val="false"/>
          <w:color w:val="000000"/>
          <w:sz w:val="28"/>
        </w:rPr>
        <w:t>
       Наименование должности             Подпись</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