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9d70" w14:textId="c429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25 сентября 2012 года № 6/1 "О Правилах оказания жилищной помощи малообеспеченным семьям (гражданам), проживающим в Мамлютском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января 2017 года № 12/3. Зарегистрировано Департаментом юстиции Северо-Казахстанской области 6 февраля 2017 года № 4042. Утратило силу решением маслихата Мамлютского района Северо-Казахстанской области от 17 апреля 2019 года № 49/3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сентября 2012 года № 6/1 "О Правилах оказания жилищной помощи малообеспеченным семьям (гражданам), проживающим в Мамлютском районе" (зарегистрировано в Реестре государственной регистрации нормативных правовых актов под № 1908 от 23 октября 2012 года, опубликовано 9 ноября 2012 года в районной газете "Знамя труда", 23 ноября 2012 года в районной газете "Солтүстік Жұлдызы")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Мамлютском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Мамлютского района Северо-Казахстанской области от 27 января 2017 года № 12/3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Мамлютского района Северо-Казахстанской области от 25 сентября 2012 года № 6/1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(гражданам), проживающим в Мамлютском районе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Мамлютского района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Расходы малообеспеченных семей (граждан), принимаемые к исчислению жилищной помощи, определяются как сумма расходов по каждому из выше указанных направлений.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оказания жилищной помощи малообеспеченным семьям (гражданам), проживающим в Мамлютском районе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является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для жителей Мамлютского района устанавливается в размере 10 процентов.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по назначению и выплате жилищной помощи определено государственное учреждение "Отдел занятости и социальных программ Мамлютского района Северо-Казахстанской области".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имеющие в частной собственности более одной единицы жилья (квартиры, дома) или сдающие жилые помещения или транспортные средства в наем (аренду), утрачивают право на получение жилищной помощи.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(далее -заявитель) обращается в уполномоченный орган, осуществляющий назначение жилищной помощи и представляет следующие документы: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счета о размерах ежемесячных взносов на содержание жилого дома (жилого здания);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счета на потребление коммунальных услуг;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квитанцию-счет за услуги телекоммуникаций или копия договора на оказание услуг связи;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уполномоченного органа в момент приема документов сверяет предоставленные копии с подлинниками документов и возвращает подлинники сразу же после проведения сверки.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назначается на текущий квартал. Документы для назначения помощи принимаются до 25 числа последнего месяца текущего квартала. Повторное обращение заявителя за жилищной помощью аналогично первоначальной процедуре оформления.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помощи, о чем письменно извещает заявителя.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Тарифы и нормы потребления коммунальных услуг предоставляют поставщики услуг.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изменении доли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производится перерасчет ранее назначенной жилищной помощи. 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Исчисления совокупного дохода семьи (гражданина), претендующей на получение жилищной помощи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Совокупный доход семьи (гражданина), претендующей на получение жилищной помощи, исчисляется уполномоченным органом за квартал, предшествовавший кварталу обращения за назначением жилищной помощи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 7412).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Финансирование выплат жилищной помощи осуществляется в пределах средств, предусмотренных в бюджете района на соответствующий финансовый год.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заявителей.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