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a496" w14:textId="c8ca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в Тимирязевском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15 ноября 2017 года № 17/3. Зарегистрировано Департаментом юстиции Северо-Казахстанской области 5 декабря 2017 года № 4396. Утратило силу решением Тимирязевского районного маслихата Северо-Казахстанской области от 07 августа 2019 года № 36/6.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07.08.2019 </w:t>
      </w:r>
      <w:r>
        <w:rPr>
          <w:rFonts w:ascii="Times New Roman"/>
          <w:b w:val="false"/>
          <w:i w:val="false"/>
          <w:color w:val="ff0000"/>
          <w:sz w:val="28"/>
        </w:rPr>
        <w:t>№ 36/6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в Тимирязевском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Тимирязевского районного маслихата от 15 ноября 2017 года № 17/3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 в Тимирязевском районе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в Тимирязевском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(зарегистрировано в Реестре государственной регистрации нормативных правовых актов под № 50071),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под № 45261),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(зарегистрировано в Реестре государственной регистрации нормативных правовых актов под № 7412) и определяют размер и порядок оказания жилищной помощи малообеспеченным семьям (гражданам), проживающим на территории Тимирязевского района Северо-Казахстанской области.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предельно-допустимых расходов –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жилищной помощи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который составляет десять процентов к совокупному доходу семьи по Тимирязевскому району Северо-Казахстанской области.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малообеспеченным семьям (гражданам) оказывается, учитывая следующие размеры: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оплате за отопление и расходов за содержание жилого дома (жилого здания), норма площади жилища эквивалентна размерам предоставления жилья, установленным жилищным законодательством Республики Казахстан: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одиноко-проживающих граждан в пределах 30 квадратных метров;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семьи по 18 квадратных метров на каждого человека;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другим видам коммунальных услуг – согласно действующим нормативным правовым актам центральных и местных исполнительных органов.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Возмещение затрат на содержание жилого дома (жилого здания), потребление коммунальных услуг и арендной платы за пользование жилищем из государственного жилищного фонда производится по фактическим расходам.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жилищной помощи не может превышать сумму фактически начисленной платы за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 также арендной платы за пользование жилищем из государственного жилищного фонда.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жилищной помощи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предоставляется за счет средств местного бюджета малообеспеченным семьям (гражданам), постоянно проживающим на территории Тимирязевского района на оплату: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назначения жилищной помощи семья (гражданин) представляет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под № 11015) через некоммерческое акционерное общество "Государственная корпорация "Правительство для граждан" и веб-портал "электронного правительства" www.egov.kz".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Уполномоченным органом по назначению и выплате жилищной помощи является коммунальное государственное учреждение "Отдел занятости и социальных программ акимата Тимирязевского района Северо-Казахстанской области" (далее – уполномоченный орган).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Малообеспеченные семьи (граждане), имеющие в частной собственности более одной единицы жилья (квартиры, дома) или сдающие жилые помещения в наем (аренду), теряют право на получение жилищной помощи.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Жилищная помощь не назначается семьям безработных, не зарегистрированных в службе занятости в качестве безработных, отказавшихся без уважительных причин от предложенной работы, в том числе на социальные рабочие места и общественные работы, от проффессионального обучения и переобучения, повышения квалификации, за исключением инвалидов всех групп и граждан, находящихся на стационарном лечении более одного месяца, учащихся, студентов, слушателей, курсантов и магистрантов учебных заведений дневной формы обучения, а также лиц, осуществляющих уход за инвалидами первой и второй группы, детьми-инвалидами до 18 лет, лицами старше восьмидесяти лет и детей до 7 лет.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Исчисления совокупного дохода семьи (гражданина),</w:t>
      </w:r>
      <w:r>
        <w:rPr>
          <w:rFonts w:ascii="Times New Roman"/>
          <w:b/>
          <w:i w:val="false"/>
          <w:color w:val="000000"/>
        </w:rPr>
        <w:t xml:space="preserve"> претендующей на получение жилищной помощи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Совокупный доход семьи (гражданина), претендующей на получение жилищной помощи, исчисляется уполномоченным органом за квартал, предшествовавший кварталу обращения за назначением жилищной помощи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 в Реестре государственной регистрации нормативных правовых актов под № 7412).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Выплата жилищной помощи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заявителей.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