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c7d3" w14:textId="a1cc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Махамбетского района на 2017-2018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30 ноября 2017 года № 180. Зарегистрировано Департаментом юстиции Атырауской области 20 декабря 2017 года № 4009. Утратило силу решением Махамбетского районного маслихата Атырауской области от 26 января 2018 года № 210</w:t>
      </w:r>
    </w:p>
    <w:p>
      <w:pPr>
        <w:spacing w:after="0"/>
        <w:ind w:left="0"/>
        <w:jc w:val="both"/>
      </w:pPr>
      <w:r>
        <w:rPr>
          <w:rFonts w:ascii="Times New Roman"/>
          <w:b w:val="false"/>
          <w:i w:val="false"/>
          <w:color w:val="ff0000"/>
          <w:sz w:val="28"/>
        </w:rPr>
        <w:t xml:space="preserve">
      Сноска. Утратило силу решением Махамбетского районного маслихата Атырауской области от 26.01.2018 № </w:t>
      </w:r>
      <w:r>
        <w:rPr>
          <w:rFonts w:ascii="Times New Roman"/>
          <w:b w:val="false"/>
          <w:i w:val="false"/>
          <w:color w:val="ff0000"/>
          <w:sz w:val="28"/>
        </w:rPr>
        <w:t>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Махамбетского района на 2017-2018 годы согласно приложению.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развитие агропромышленного комплекса и предпринимательства, экология, охрана окружающей среды (А. Курманбаев).</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br/>
            </w:r>
            <w:r>
              <w:rPr>
                <w:rFonts w:ascii="Times New Roman"/>
                <w:b w:val="false"/>
                <w:i/>
                <w:color w:val="000000"/>
                <w:sz w:val="20"/>
              </w:rPr>
              <w:t>17-сессии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Махамбетского районного маслихата от 30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Махамбетского районного маслихата от 30 ноября 2017 года № 180</w:t>
            </w:r>
          </w:p>
        </w:tc>
      </w:tr>
    </w:tbl>
    <w:bookmarkStart w:name="z12" w:id="4"/>
    <w:p>
      <w:pPr>
        <w:spacing w:after="0"/>
        <w:ind w:left="0"/>
        <w:jc w:val="left"/>
      </w:pPr>
      <w:r>
        <w:rPr>
          <w:rFonts w:ascii="Times New Roman"/>
          <w:b/>
          <w:i w:val="false"/>
          <w:color w:val="000000"/>
        </w:rPr>
        <w:t xml:space="preserve"> ПЛАН по управлению пастбищами и их использованию Махамбетского района на 2017-2018 годы</w:t>
      </w:r>
    </w:p>
    <w:bookmarkEnd w:id="4"/>
    <w:bookmarkStart w:name="z13" w:id="5"/>
    <w:p>
      <w:pPr>
        <w:spacing w:after="0"/>
        <w:ind w:left="0"/>
        <w:jc w:val="left"/>
      </w:pPr>
      <w:r>
        <w:rPr>
          <w:rFonts w:ascii="Times New Roman"/>
          <w:b/>
          <w:i w:val="false"/>
          <w:color w:val="000000"/>
        </w:rPr>
        <w:t xml:space="preserve"> Введение</w:t>
      </w:r>
    </w:p>
    <w:bookmarkEnd w:id="5"/>
    <w:bookmarkStart w:name="z14" w:id="6"/>
    <w:p>
      <w:pPr>
        <w:spacing w:after="0"/>
        <w:ind w:left="0"/>
        <w:jc w:val="both"/>
      </w:pPr>
      <w:r>
        <w:rPr>
          <w:rFonts w:ascii="Times New Roman"/>
          <w:b w:val="false"/>
          <w:i w:val="false"/>
          <w:color w:val="000000"/>
          <w:sz w:val="28"/>
        </w:rPr>
        <w:t xml:space="preserve">
      В Махамбетском районе, как в стране в целом, земельные отношения в области сельского хозяйства района были регламентированы в основном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Законом "О крестьянском и фермерском хозяйстве". Теперь, начиная с этого года, правовые отношения с использованием пастбищных угодий будут управляться и организовываться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(далее–Закон). Законом определены мероприятия по регулированию рационального использования пастбищных угодий в стране, а также мероприятия местных исполнительных органов и хозяйствующих организаций относительно системы организации, управления и планирования на отдаленных и сезонных выпасах. Для проведения систематической работы установлены и уточнены нормы.</w:t>
      </w:r>
    </w:p>
    <w:bookmarkEnd w:id="6"/>
    <w:bookmarkStart w:name="z15" w:id="7"/>
    <w:p>
      <w:pPr>
        <w:spacing w:after="0"/>
        <w:ind w:left="0"/>
        <w:jc w:val="both"/>
      </w:pPr>
      <w:r>
        <w:rPr>
          <w:rFonts w:ascii="Times New Roman"/>
          <w:b w:val="false"/>
          <w:i w:val="false"/>
          <w:color w:val="000000"/>
          <w:sz w:val="28"/>
        </w:rPr>
        <w:t>
      Площадь Махамбетского района составляет 961 718 гектара земли, из них 803 176 гектара считаются как пастбищные долины. В настоящее время используется только 600,0 тысячи гектар пастбищных угодий, 73,0 процента земли в категории запаса из-за неиспользования. В настоящее время в районе 24 населенные пункты, из них 10 сельских округов, где 6 товарищество с ограниченной ответственностью, 714 крестьянских хозяйства занимающихся животноводством и многие семьи содержат скот, продукцию используют для своих нужд. У них 40 011 голов овец и коз, 14082 голов крупного рогатого скота, 4 488 голов лошадей, 2 664 голов верблюдов. Около 60 процентов этого скота пасутся на пастбище близ села. Если считать площадь используемых пастбищ по нормативам, установленным на каждый скот, то будет считаться, что скот пасли повторно в одном месте. Это приводит к уменьшению трав и вытаптывание копытами скота ведет к нарушению поверхностных слоев земли, то есть земля подвергается эрозии. Таких "вытоптанных" пастбищ в районе сотни гектаров. Особенно, из-за тесноты пастбищ, земли, подверженные эрозии и лысые места (солончаковые) в основном, занимают земли населенных пунктов и в зонах водопоя.</w:t>
      </w:r>
    </w:p>
    <w:bookmarkEnd w:id="7"/>
    <w:bookmarkStart w:name="z16" w:id="8"/>
    <w:p>
      <w:pPr>
        <w:spacing w:after="0"/>
        <w:ind w:left="0"/>
        <w:jc w:val="both"/>
      </w:pPr>
      <w:r>
        <w:rPr>
          <w:rFonts w:ascii="Times New Roman"/>
          <w:b w:val="false"/>
          <w:i w:val="false"/>
          <w:color w:val="000000"/>
          <w:sz w:val="28"/>
        </w:rPr>
        <w:t xml:space="preserve">
      Поэтому основной целью этого плана в дальнейшем, чтобы не испортить экологическое состояние окружающей среды,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Республики Казахстан №3-3/332 от 14 апреля 2015 года "Об утверждении предельно допустимой нормы нагрузки на общую площадь пастбищ" зарегистрированный в Реестре государственной регистрации нормативных правовых актов №11064, опубликованный 5 июня 2015 года в информационно-правовой системе "Әділет"), является проведение анализа в соответствии с нормами, утвержденными в зависимости от вида скота, пастбищ сҰл, в целом района, проведение работ в соответствии с требованиями нового Закона по восстановлению пастбищ района, по их коренному улучшению, сохранению, освоению целинных земель, их рациональному использованию. Кроме того, основным путем предотвращения эрозии является объединение скота населения сельских округов в зависимости от времени года и периода использования пастбищ содействие организации эффективного использования пастбищ, улучшение состояния скота и пастбищ. Закон направлен на улучшение инфраструктуры пастбищ в нашей стране, предотвращение деградации пастбищ и сохранение экологической целостности их экосистем. А также рассматривает вопросы повышения экологической чистой продукции животноводства.</w:t>
      </w:r>
    </w:p>
    <w:bookmarkEnd w:id="8"/>
    <w:bookmarkStart w:name="z17" w:id="9"/>
    <w:p>
      <w:pPr>
        <w:spacing w:after="0"/>
        <w:ind w:left="0"/>
        <w:jc w:val="left"/>
      </w:pPr>
      <w:r>
        <w:rPr>
          <w:rFonts w:ascii="Times New Roman"/>
          <w:b/>
          <w:i w:val="false"/>
          <w:color w:val="000000"/>
        </w:rPr>
        <w:t xml:space="preserve"> 1. Категории земель и их объемы в районе</w:t>
      </w:r>
    </w:p>
    <w:bookmarkEnd w:id="9"/>
    <w:bookmarkStart w:name="z18" w:id="10"/>
    <w:p>
      <w:pPr>
        <w:spacing w:after="0"/>
        <w:ind w:left="0"/>
        <w:jc w:val="both"/>
      </w:pPr>
      <w:r>
        <w:rPr>
          <w:rFonts w:ascii="Times New Roman"/>
          <w:b w:val="false"/>
          <w:i w:val="false"/>
          <w:color w:val="000000"/>
          <w:sz w:val="28"/>
        </w:rPr>
        <w:t>
      Площадь района относится к зонам пустыни-полупустыни. Почва соленая, маловлажная, земля солончаковая. В основном произрастают полынь, серая полынь, травы семейства полынных, в соленой почве произрастают рогач, солончаковый ежовник, гармала, в песчаной почве острец, ковыль, перистый ковыль и другие травы. В отдельные годы, когда весна теплая и влажная, с середины апреля начинают расти эфемерные травы (мортық, қоңырбас, сіңбірік, мысық құйрық). Эти травы начинают усыхать через месяц, полтора. Эффективное использование пастбищ, предотвращение его износа связано с размещением каждого скота в зависимости от его хорошо потребляемой травы.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588"/>
        <w:gridCol w:w="2991"/>
        <w:gridCol w:w="2991"/>
        <w:gridCol w:w="2991"/>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земли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тысячи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орошаемые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w:t>
            </w:r>
          </w:p>
          <w:bookmarkEnd w:id="12"/>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2</w:t>
            </w:r>
          </w:p>
          <w:bookmarkEnd w:id="13"/>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3</w:t>
            </w:r>
          </w:p>
          <w:bookmarkEnd w:id="14"/>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обороны и другие несельскохозяйственные земли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4</w:t>
            </w:r>
          </w:p>
          <w:bookmarkEnd w:id="15"/>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Особо охраняемые природные территориальные земли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5</w:t>
            </w:r>
          </w:p>
          <w:bookmarkEnd w:id="16"/>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6</w:t>
            </w:r>
          </w:p>
          <w:bookmarkEnd w:id="17"/>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7</w:t>
            </w:r>
          </w:p>
          <w:bookmarkEnd w:id="18"/>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земли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54,5794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777,567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526,031</w:t>
            </w:r>
          </w:p>
        </w:tc>
      </w:tr>
    </w:tbl>
    <w:bookmarkStart w:name="z29" w:id="19"/>
    <w:p>
      <w:pPr>
        <w:spacing w:after="0"/>
        <w:ind w:left="0"/>
        <w:jc w:val="both"/>
      </w:pPr>
      <w:r>
        <w:rPr>
          <w:rFonts w:ascii="Times New Roman"/>
          <w:b w:val="false"/>
          <w:i w:val="false"/>
          <w:color w:val="000000"/>
          <w:sz w:val="28"/>
        </w:rPr>
        <w:t>
      Как видно из таблицы, территория района в связи с природным географическим положением делится на шесть категорий земель. Эти категории земель используются в соответствии с их целями.</w:t>
      </w:r>
    </w:p>
    <w:bookmarkEnd w:id="19"/>
    <w:bookmarkStart w:name="z30" w:id="20"/>
    <w:p>
      <w:pPr>
        <w:spacing w:after="0"/>
        <w:ind w:left="0"/>
        <w:jc w:val="both"/>
      </w:pPr>
      <w:r>
        <w:rPr>
          <w:rFonts w:ascii="Times New Roman"/>
          <w:b w:val="false"/>
          <w:i w:val="false"/>
          <w:color w:val="000000"/>
          <w:sz w:val="28"/>
        </w:rPr>
        <w:t>
      Если характеризовать в целом пастбища района, то их производительность непостоянна, меняется из года в год в зависимости от количества дождя и снега. Урожайность травы может варьироваться от 1,0 до 3 центнеров с гектара, в зависимости от погодных условий года.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bookmarkEnd w:id="20"/>
    <w:bookmarkStart w:name="z31" w:id="21"/>
    <w:p>
      <w:pPr>
        <w:spacing w:after="0"/>
        <w:ind w:left="0"/>
        <w:jc w:val="both"/>
      </w:pPr>
      <w:r>
        <w:rPr>
          <w:rFonts w:ascii="Times New Roman"/>
          <w:b w:val="false"/>
          <w:i w:val="false"/>
          <w:color w:val="000000"/>
          <w:sz w:val="28"/>
        </w:rPr>
        <w:t xml:space="preserve">
      А 84 процента объема земли района-пастбищные земли (прилагается приложение 1). На сегодняшний день 40 процент из них-использовании или только 313,293 тысяч гектара освоено. 139,4 тысяч гектара – используется 749 подсобными хозяйствами, 54,673 тысяч гектара- негосударственными сельскохозяйственными структурами. В районе не используют несколько арендованных пастбищ, а содержат животных на землях вблизи населенных пунктов. </w:t>
      </w:r>
    </w:p>
    <w:bookmarkEnd w:id="21"/>
    <w:bookmarkStart w:name="z32" w:id="22"/>
    <w:p>
      <w:pPr>
        <w:spacing w:after="0"/>
        <w:ind w:left="0"/>
        <w:jc w:val="both"/>
      </w:pPr>
      <w:r>
        <w:rPr>
          <w:rFonts w:ascii="Times New Roman"/>
          <w:b w:val="false"/>
          <w:i w:val="false"/>
          <w:color w:val="000000"/>
          <w:sz w:val="28"/>
        </w:rPr>
        <w:t>
      90208 гектаров пастбищ, относящихся к категории земель населенных пунктов, из них 19285 гектаров орошаемы, эта земля в полной мере в своих целях не используется. А на 488837 гектарах землях запаса 321630 гектаров пастбищ или только 65 процент орошаемы. На землях лесного фонда около 3,4 тысяч гектаров пастбищных угодий.</w:t>
      </w:r>
    </w:p>
    <w:bookmarkEnd w:id="22"/>
    <w:bookmarkStart w:name="z33" w:id="23"/>
    <w:p>
      <w:pPr>
        <w:spacing w:after="0"/>
        <w:ind w:left="0"/>
        <w:jc w:val="both"/>
      </w:pPr>
      <w:r>
        <w:rPr>
          <w:rFonts w:ascii="Times New Roman"/>
          <w:b w:val="false"/>
          <w:i w:val="false"/>
          <w:color w:val="000000"/>
          <w:sz w:val="28"/>
        </w:rPr>
        <w:t xml:space="preserve">
      В районе ясно наблюдается сезонный характер природных пастбищ. В зависимости от климатических условий, есть фонд, в среднем равный 15 мллионом центнерам кормовых единиц, в том числе на летний сезон приходится 20-25 процентов, на весенне-осенний сезон приходится 45-50 процентов и на зимний сезон приходится 25-30 процентов. В настоящее время значительная часть участков бывших пастбищ не используется по различным причинам. У населения нескольких населенных пунктов на руках есть скот. Частные владельцы, некоторые крестьянские хозяйства не уделяют внимания на вывоз животных на плодородные пастбища, на перемену пастбищ. Из-за нахождения скота на одном месте и зимой и летом, земля изнашивается, уменьшаются виды кормовых растений, пастбища выходят из хозяйственного оборота, подвергаясь эррозии. </w:t>
      </w:r>
    </w:p>
    <w:bookmarkEnd w:id="23"/>
    <w:bookmarkStart w:name="z34" w:id="24"/>
    <w:p>
      <w:pPr>
        <w:spacing w:after="0"/>
        <w:ind w:left="0"/>
        <w:jc w:val="left"/>
      </w:pPr>
      <w:r>
        <w:rPr>
          <w:rFonts w:ascii="Times New Roman"/>
          <w:b/>
          <w:i w:val="false"/>
          <w:color w:val="000000"/>
        </w:rPr>
        <w:t xml:space="preserve"> 2. Рациональное использование пастбищ в районе</w:t>
      </w:r>
    </w:p>
    <w:bookmarkEnd w:id="24"/>
    <w:bookmarkStart w:name="z35" w:id="25"/>
    <w:p>
      <w:pPr>
        <w:spacing w:after="0"/>
        <w:ind w:left="0"/>
        <w:jc w:val="both"/>
      </w:pPr>
      <w:r>
        <w:rPr>
          <w:rFonts w:ascii="Times New Roman"/>
          <w:b w:val="false"/>
          <w:i w:val="false"/>
          <w:color w:val="000000"/>
          <w:sz w:val="28"/>
        </w:rPr>
        <w:t>
      В районе расположены 24 населенных пункты, из них 10 сельских округов. В основном, в сельских округах большинство животных содержатся на руках, в течение шести- семи месяцев в год пасутся в окрестностях села, то есть скот не отдаляется от села на дистанцию больше 2-3 километров. Сейчас практически большая часть этих земель повреждена, изношена. Потому что во дворах населения содержатся более тысячи животных и скот крестьянских хозяйств, не перекочевавших на выпас на дальние пастбища, соответственно плотность скота в несколько раз превышает размер (норматив), действующий в этом регионе.</w:t>
      </w:r>
    </w:p>
    <w:bookmarkEnd w:id="25"/>
    <w:bookmarkStart w:name="z36" w:id="26"/>
    <w:p>
      <w:pPr>
        <w:spacing w:after="0"/>
        <w:ind w:left="0"/>
        <w:jc w:val="left"/>
      </w:pPr>
      <w:r>
        <w:rPr>
          <w:rFonts w:ascii="Times New Roman"/>
          <w:b/>
          <w:i w:val="false"/>
          <w:color w:val="000000"/>
        </w:rPr>
        <w:t xml:space="preserve"> Состояние использования пастбищ в районе в настоящее время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287"/>
        <w:gridCol w:w="2661"/>
        <w:gridCol w:w="2661"/>
        <w:gridCol w:w="2662"/>
        <w:gridCol w:w="1745"/>
      </w:tblGrid>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w:t>
            </w:r>
          </w:p>
          <w:bookmarkEnd w:id="27"/>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округи, населенные пункты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земли,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эксплутации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2</w:t>
            </w:r>
          </w:p>
          <w:bookmarkEnd w:id="29"/>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3</w:t>
            </w:r>
          </w:p>
          <w:bookmarkEnd w:id="30"/>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селский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4</w:t>
            </w:r>
          </w:p>
          <w:bookmarkEnd w:id="31"/>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Енбекшил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5</w:t>
            </w:r>
          </w:p>
          <w:bookmarkEnd w:id="32"/>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Жалгансайский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6</w:t>
            </w:r>
          </w:p>
          <w:bookmarkEnd w:id="33"/>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Испульский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7</w:t>
            </w:r>
          </w:p>
          <w:bookmarkEnd w:id="34"/>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Коздикара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8</w:t>
            </w:r>
          </w:p>
          <w:bookmarkEnd w:id="35"/>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9</w:t>
            </w:r>
          </w:p>
          <w:bookmarkEnd w:id="36"/>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Озек-Туман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10</w:t>
            </w:r>
          </w:p>
          <w:bookmarkEnd w:id="37"/>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Ортакшыл</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11</w:t>
            </w:r>
          </w:p>
          <w:bookmarkEnd w:id="38"/>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Береке</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12</w:t>
            </w:r>
          </w:p>
          <w:bookmarkEnd w:id="39"/>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Талдыкуль</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13</w:t>
            </w:r>
          </w:p>
          <w:bookmarkEnd w:id="40"/>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Сарайчиковский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14</w:t>
            </w:r>
          </w:p>
          <w:bookmarkEnd w:id="41"/>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Сарытогай</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15</w:t>
            </w:r>
          </w:p>
          <w:bookmarkEnd w:id="42"/>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Аккайын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16</w:t>
            </w:r>
          </w:p>
          <w:bookmarkEnd w:id="43"/>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17</w:t>
            </w:r>
          </w:p>
          <w:bookmarkEnd w:id="44"/>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18</w:t>
            </w:r>
          </w:p>
          <w:bookmarkEnd w:id="45"/>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Есмахан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19</w:t>
            </w:r>
          </w:p>
          <w:bookmarkEnd w:id="46"/>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Ақтогайский сельский округ</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20</w:t>
            </w:r>
          </w:p>
          <w:bookmarkEnd w:id="47"/>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Балаораз</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21</w:t>
            </w:r>
          </w:p>
          <w:bookmarkEnd w:id="48"/>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Кенорис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22</w:t>
            </w:r>
          </w:p>
          <w:bookmarkEnd w:id="49"/>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Атамбаев</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23</w:t>
            </w:r>
          </w:p>
          <w:bookmarkEnd w:id="50"/>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Ески Сарайчик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24</w:t>
            </w:r>
          </w:p>
          <w:bookmarkEnd w:id="51"/>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Кызыл-Жар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xml:space="preserve">
Всего </w:t>
            </w:r>
          </w:p>
          <w:bookmarkEnd w:id="52"/>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4" w:id="53"/>
    <w:p>
      <w:pPr>
        <w:spacing w:after="0"/>
        <w:ind w:left="0"/>
        <w:jc w:val="both"/>
      </w:pPr>
      <w:r>
        <w:rPr>
          <w:rFonts w:ascii="Times New Roman"/>
          <w:b w:val="false"/>
          <w:i w:val="false"/>
          <w:color w:val="000000"/>
          <w:sz w:val="28"/>
        </w:rPr>
        <w:t>
      Как показано в таблице, из имеющихся в наличии 802293 гектаров пастбищных угодий практически 40 процентов или 313,293 тысяч гектаров применяются для выпаса скота. Большинство этих земель расположены вблизи сҰл, а некоторые пастбищные угодья по неизвестной причине используются неэффективно.</w:t>
      </w:r>
    </w:p>
    <w:bookmarkEnd w:id="53"/>
    <w:bookmarkStart w:name="z65" w:id="54"/>
    <w:p>
      <w:pPr>
        <w:spacing w:after="0"/>
        <w:ind w:left="0"/>
        <w:jc w:val="both"/>
      </w:pPr>
      <w:r>
        <w:rPr>
          <w:rFonts w:ascii="Times New Roman"/>
          <w:b w:val="false"/>
          <w:i w:val="false"/>
          <w:color w:val="000000"/>
          <w:sz w:val="28"/>
        </w:rPr>
        <w:t>
      При приватизации сельского хозяйства отдаленные от сел пастбища бывших совхозов остались свободными, возможно тогда оставшиеся на их месте либо на их зимовке товарищества с ограниченной ответственностью, производственные кооперативы, либо скотники, создавшие крестьянские хозяйства, приобрели их без учета. В таких случаях в некоторых округах наблюдается усложнение недостаточности пастбищ. А по району, как было сказано выше, более половины пастбищ не используется.</w:t>
      </w:r>
    </w:p>
    <w:bookmarkEnd w:id="54"/>
    <w:bookmarkStart w:name="z66" w:id="55"/>
    <w:p>
      <w:pPr>
        <w:spacing w:after="0"/>
        <w:ind w:left="0"/>
        <w:jc w:val="both"/>
      </w:pPr>
      <w:r>
        <w:rPr>
          <w:rFonts w:ascii="Times New Roman"/>
          <w:b w:val="false"/>
          <w:i w:val="false"/>
          <w:color w:val="000000"/>
          <w:sz w:val="28"/>
        </w:rPr>
        <w:t>
      В настоящее время, из-за несоблюдения порядка использования пастбищ и выпаса большого количества скота, из-за не ухоженности, фонд кормовых растений из года в год уменьшается. Вследствие этого, такие пастбища зарастают такими травами как есекмия, безлистый ежовник, гармала, чертополох и другими крупностебельными растениями, которые животные не едят.</w:t>
      </w:r>
    </w:p>
    <w:bookmarkEnd w:id="55"/>
    <w:bookmarkStart w:name="z67" w:id="56"/>
    <w:p>
      <w:pPr>
        <w:spacing w:after="0"/>
        <w:ind w:left="0"/>
        <w:jc w:val="both"/>
      </w:pPr>
      <w:r>
        <w:rPr>
          <w:rFonts w:ascii="Times New Roman"/>
          <w:b w:val="false"/>
          <w:i w:val="false"/>
          <w:color w:val="000000"/>
          <w:sz w:val="28"/>
        </w:rPr>
        <w:t>
      Поэтому на данном этапе планируем, в сельских округов, где много скота организовать выпас скота на отдаленных пастбищах с водопоем и разделить их на 2 участка. Поочередное их использование, то есть использование с заменой (1 участок используется в период первого выпаса, 2 участок – от середины до конца периода выпаса) позволит восстановить растения. Надеемся, что собственники земель убедятся в обновлении полей, пастбищ, что в дальнейшем откроет путь к сезонной эксплуатации земли.</w:t>
      </w:r>
    </w:p>
    <w:bookmarkEnd w:id="56"/>
    <w:bookmarkStart w:name="z68" w:id="57"/>
    <w:p>
      <w:pPr>
        <w:spacing w:after="0"/>
        <w:ind w:left="0"/>
        <w:jc w:val="both"/>
      </w:pPr>
      <w:r>
        <w:rPr>
          <w:rFonts w:ascii="Times New Roman"/>
          <w:b w:val="false"/>
          <w:i w:val="false"/>
          <w:color w:val="000000"/>
          <w:sz w:val="28"/>
        </w:rPr>
        <w:t>
      В целом, на научно-обоснованной практике для сохранения продуктивности пастбищ на долгие годы, пользователям пастбищ необходимо учитывать три основных требования:</w:t>
      </w:r>
    </w:p>
    <w:bookmarkEnd w:id="57"/>
    <w:bookmarkStart w:name="z69" w:id="58"/>
    <w:p>
      <w:pPr>
        <w:spacing w:after="0"/>
        <w:ind w:left="0"/>
        <w:jc w:val="both"/>
      </w:pPr>
      <w:r>
        <w:rPr>
          <w:rFonts w:ascii="Times New Roman"/>
          <w:b w:val="false"/>
          <w:i w:val="false"/>
          <w:color w:val="000000"/>
          <w:sz w:val="28"/>
        </w:rPr>
        <w:t>
      1. На пастбищном участке соблюдать нормы количества скота;</w:t>
      </w:r>
    </w:p>
    <w:bookmarkEnd w:id="58"/>
    <w:bookmarkStart w:name="z70" w:id="59"/>
    <w:p>
      <w:pPr>
        <w:spacing w:after="0"/>
        <w:ind w:left="0"/>
        <w:jc w:val="both"/>
      </w:pPr>
      <w:r>
        <w:rPr>
          <w:rFonts w:ascii="Times New Roman"/>
          <w:b w:val="false"/>
          <w:i w:val="false"/>
          <w:color w:val="000000"/>
          <w:sz w:val="28"/>
        </w:rPr>
        <w:t>
      2. После использования пастбищ 30-40 процентов валового продукта должны быть сохранены;</w:t>
      </w:r>
    </w:p>
    <w:bookmarkEnd w:id="59"/>
    <w:bookmarkStart w:name="z71" w:id="60"/>
    <w:p>
      <w:pPr>
        <w:spacing w:after="0"/>
        <w:ind w:left="0"/>
        <w:jc w:val="both"/>
      </w:pPr>
      <w:r>
        <w:rPr>
          <w:rFonts w:ascii="Times New Roman"/>
          <w:b w:val="false"/>
          <w:i w:val="false"/>
          <w:color w:val="000000"/>
          <w:sz w:val="28"/>
        </w:rPr>
        <w:t>
      После выпаса скота на пастбище, растения должны быть высотой 4-5 сантиметра. Потому что скот съедает практически все листья растений, к зиме в их фонде остается меньше питательных веществ. Иногда зимой обмораживаются, а выжившие, хотя и расцветают весной, травянистость плохого качества;</w:t>
      </w:r>
    </w:p>
    <w:bookmarkEnd w:id="60"/>
    <w:bookmarkStart w:name="z72" w:id="61"/>
    <w:p>
      <w:pPr>
        <w:spacing w:after="0"/>
        <w:ind w:left="0"/>
        <w:jc w:val="both"/>
      </w:pPr>
      <w:r>
        <w:rPr>
          <w:rFonts w:ascii="Times New Roman"/>
          <w:b w:val="false"/>
          <w:i w:val="false"/>
          <w:color w:val="000000"/>
          <w:sz w:val="28"/>
        </w:rPr>
        <w:t>
      3. Строгое соблюдение сроков выпаса скота. Выпас скота весной необходимо начинать после 10-12 дней после того, как многие многолетние травы начнут ворситься (семейства зерновых), а другие обрастать ветвями (частично кустарники).</w:t>
      </w:r>
    </w:p>
    <w:bookmarkEnd w:id="61"/>
    <w:bookmarkStart w:name="z73" w:id="62"/>
    <w:p>
      <w:pPr>
        <w:spacing w:after="0"/>
        <w:ind w:left="0"/>
        <w:jc w:val="both"/>
      </w:pPr>
      <w:r>
        <w:rPr>
          <w:rFonts w:ascii="Times New Roman"/>
          <w:b w:val="false"/>
          <w:i w:val="false"/>
          <w:color w:val="000000"/>
          <w:sz w:val="28"/>
        </w:rPr>
        <w:t>
      Несоблюдение этих правил ведет к резкому снижению продукции пастбищ в следующем году. Но, тем не менее, известно, что травянистость пастбищ в течение года меняется по разным причинам.</w:t>
      </w:r>
    </w:p>
    <w:bookmarkEnd w:id="62"/>
    <w:bookmarkStart w:name="z74" w:id="63"/>
    <w:p>
      <w:pPr>
        <w:spacing w:after="0"/>
        <w:ind w:left="0"/>
        <w:jc w:val="both"/>
      </w:pPr>
      <w:r>
        <w:rPr>
          <w:rFonts w:ascii="Times New Roman"/>
          <w:b w:val="false"/>
          <w:i w:val="false"/>
          <w:color w:val="000000"/>
          <w:sz w:val="28"/>
        </w:rPr>
        <w:t>
      Сегодня, коренным образом изменился геоботанический состав растительности сенокосных угодий и пастбищ в целом. Такая ситуация требует проведения других агротехнических мероприятий и мелиорации земель. Способ, требующий восстановления роста травы, переменных пастбищ для изношенных пастбищ следует вести на научной основе.</w:t>
      </w:r>
    </w:p>
    <w:bookmarkEnd w:id="63"/>
    <w:p>
      <w:pPr>
        <w:spacing w:after="0"/>
        <w:ind w:left="0"/>
        <w:jc w:val="left"/>
      </w:pPr>
      <w:r>
        <w:rPr>
          <w:rFonts w:ascii="Times New Roman"/>
          <w:b/>
          <w:i w:val="false"/>
          <w:color w:val="000000"/>
        </w:rPr>
        <w:t xml:space="preserve"> Сведения о ветеринарно-санитарных объектах в районе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1376"/>
        <w:gridCol w:w="2137"/>
        <w:gridCol w:w="1759"/>
        <w:gridCol w:w="1377"/>
        <w:gridCol w:w="2137"/>
        <w:gridCol w:w="1378"/>
      </w:tblGrid>
      <w:tr>
        <w:trPr>
          <w:trHeight w:val="30" w:hRule="atLeast"/>
        </w:trPr>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округи</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 врачебные пункты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купания скота</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искуственного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Могильники для скота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построенные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1</w:t>
            </w:r>
          </w:p>
          <w:bookmarkEnd w:id="65"/>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2</w:t>
            </w:r>
          </w:p>
          <w:bookmarkEnd w:id="66"/>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3</w:t>
            </w:r>
          </w:p>
          <w:bookmarkEnd w:id="67"/>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Сарайчиковский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4</w:t>
            </w:r>
          </w:p>
          <w:bookmarkEnd w:id="68"/>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Жалгансайский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5</w:t>
            </w:r>
          </w:p>
          <w:bookmarkEnd w:id="69"/>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6</w:t>
            </w:r>
          </w:p>
          <w:bookmarkEnd w:id="70"/>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7</w:t>
            </w:r>
          </w:p>
          <w:bookmarkEnd w:id="71"/>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8</w:t>
            </w:r>
          </w:p>
          <w:bookmarkEnd w:id="72"/>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9</w:t>
            </w:r>
          </w:p>
          <w:bookmarkEnd w:id="73"/>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Испулский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10</w:t>
            </w:r>
          </w:p>
          <w:bookmarkEnd w:id="74"/>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сельский округ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8" w:id="75"/>
    <w:p>
      <w:pPr>
        <w:spacing w:after="0"/>
        <w:ind w:left="0"/>
        <w:jc w:val="both"/>
      </w:pPr>
      <w:r>
        <w:rPr>
          <w:rFonts w:ascii="Times New Roman"/>
          <w:b w:val="false"/>
          <w:i w:val="false"/>
          <w:color w:val="000000"/>
          <w:sz w:val="28"/>
        </w:rPr>
        <w:t>
      Ветеринарные пункты в районе полностью укомплектованы специалистами ветеринарами, полностью оборудованы (компьютеры, холодильники, необходимые инструменты). Перед выгоном на выпас скота сельских округов полностью выполняются запланированные ежегодные противоэпизоотические мероприятия, работы по ветеринарной профилактической прививке, аллергические и серологические проверочные работы. Проходят ветеринарный осмотр на пастбищах вблизи сҰл. В указанной в таблице округах не определены места для могильников животных, следует рассмотреть в качестве проводимых в ближайщее время эпизотических мероприятий.</w:t>
      </w:r>
    </w:p>
    <w:bookmarkEnd w:id="75"/>
    <w:bookmarkStart w:name="z89" w:id="76"/>
    <w:p>
      <w:pPr>
        <w:spacing w:after="0"/>
        <w:ind w:left="0"/>
        <w:jc w:val="both"/>
      </w:pPr>
      <w:r>
        <w:rPr>
          <w:rFonts w:ascii="Times New Roman"/>
          <w:b w:val="false"/>
          <w:i w:val="false"/>
          <w:color w:val="000000"/>
          <w:sz w:val="28"/>
        </w:rPr>
        <w:t>
      В центрах сельских округов есть соответствующие биотермические ямы, то есть могильники скота.</w:t>
      </w:r>
    </w:p>
    <w:bookmarkEnd w:id="76"/>
    <w:bookmarkStart w:name="z90" w:id="77"/>
    <w:p>
      <w:pPr>
        <w:spacing w:after="0"/>
        <w:ind w:left="0"/>
        <w:jc w:val="both"/>
      </w:pPr>
      <w:r>
        <w:rPr>
          <w:rFonts w:ascii="Times New Roman"/>
          <w:b w:val="false"/>
          <w:i w:val="false"/>
          <w:color w:val="000000"/>
          <w:sz w:val="28"/>
        </w:rPr>
        <w:t>
      Небрежное содержание скота, отсутствие контроля при случке, при окоте скота, отсутствие контроля за здоровьем скота, нарушение правил объединения, группировки скота и другие приводит к распространению инфекции среди животных. Поэтому при использовании пастбищ и содержании скота необходимо строго соблюдать ветеринарно-санитарные и зоогигиенические правила. В местах возникновения заболевания должны быть проведены работы по вакцинации животных, дезинфекции, дератизации.</w:t>
      </w:r>
    </w:p>
    <w:bookmarkEnd w:id="77"/>
    <w:bookmarkStart w:name="z91" w:id="78"/>
    <w:p>
      <w:pPr>
        <w:spacing w:after="0"/>
        <w:ind w:left="0"/>
        <w:jc w:val="both"/>
      </w:pPr>
      <w:r>
        <w:rPr>
          <w:rFonts w:ascii="Times New Roman"/>
          <w:b w:val="false"/>
          <w:i w:val="false"/>
          <w:color w:val="000000"/>
          <w:sz w:val="28"/>
        </w:rPr>
        <w:t>
      Трупы животных и преднамеренно отловленных и уничтоженных бродячих собак, кошек выбрасываются в специальные скотомогильники.</w:t>
      </w:r>
    </w:p>
    <w:bookmarkEnd w:id="78"/>
    <w:bookmarkStart w:name="z92" w:id="79"/>
    <w:p>
      <w:pPr>
        <w:spacing w:after="0"/>
        <w:ind w:left="0"/>
        <w:jc w:val="left"/>
      </w:pPr>
      <w:r>
        <w:rPr>
          <w:rFonts w:ascii="Times New Roman"/>
          <w:b/>
          <w:i w:val="false"/>
          <w:color w:val="000000"/>
        </w:rPr>
        <w:t xml:space="preserve"> 3. Организация сезонной эксплуатации пастбищ населенных пунктов</w:t>
      </w:r>
    </w:p>
    <w:bookmarkEnd w:id="79"/>
    <w:bookmarkStart w:name="z93" w:id="80"/>
    <w:p>
      <w:pPr>
        <w:spacing w:after="0"/>
        <w:ind w:left="0"/>
        <w:jc w:val="both"/>
      </w:pPr>
      <w:r>
        <w:rPr>
          <w:rFonts w:ascii="Times New Roman"/>
          <w:b w:val="false"/>
          <w:i w:val="false"/>
          <w:color w:val="000000"/>
          <w:sz w:val="28"/>
        </w:rPr>
        <w:t>
      В районе 24 населенных пунктов. Площадь всех земли 94,122 тысяч гектаров, из которых 90,208 тысяч гектаров постбища. Этих пастбищ в расчете на соответствующее количество каждого скота частных подворий в населенных пунктах очень мало. Например, в Махамбетском районе 1071 голов крупно рогатого, 3175 голов овец и коз, 47 голов лошадей, 44 голов верблюдов. Этим животным в соответствующих размерах необходимо 45345 гектаров пастбищ, а в поселке 4067 гектаров, то есть 41278 гектаров пастбищ не хватает. Поэтому планируется кроме ежедневного поголовья скота каждой семьи, объединив, в соответствии с ветеринарными требованиями, в зависимости от вида животных, организовать выпас на пастбище запаса поселка. Конечно, должны полностью решиться вопросы необходимые для условий объединения скота жителей села для выпаса, то есть такие как заработная плата семьи, пасущей скот, или бригады, бытовые, социальные вопросы. А также, в населенных пунктах должны обеспечить пастухов юртами, гарантировать безопасность животных и человека. Этот шаг, в соответствии с поручением Главы государства, станет еще одним шагом интеграции кооперативов. А недостающие пастбища для скотов крестьянских хозяйств поселка будут разрешаться путем предоставления в аренду дополнительных земель и расширения объема (прилагается приложение 2).</w:t>
      </w:r>
    </w:p>
    <w:bookmarkEnd w:id="80"/>
    <w:bookmarkStart w:name="z94" w:id="81"/>
    <w:p>
      <w:pPr>
        <w:spacing w:after="0"/>
        <w:ind w:left="0"/>
        <w:jc w:val="both"/>
      </w:pPr>
      <w:r>
        <w:rPr>
          <w:rFonts w:ascii="Times New Roman"/>
          <w:b w:val="false"/>
          <w:i w:val="false"/>
          <w:color w:val="000000"/>
          <w:sz w:val="28"/>
        </w:rPr>
        <w:t xml:space="preserve">
      Например, в соответствии с предложенным планом, недостающие 19980 гектар пастбищной долины по Алгинскому сельскому округу обеспечиваются за счет использования относящихся к округу отдаленных канала Егиз. </w:t>
      </w:r>
    </w:p>
    <w:bookmarkEnd w:id="81"/>
    <w:bookmarkStart w:name="z95" w:id="82"/>
    <w:p>
      <w:pPr>
        <w:spacing w:after="0"/>
        <w:ind w:left="0"/>
        <w:jc w:val="both"/>
      </w:pPr>
      <w:r>
        <w:rPr>
          <w:rFonts w:ascii="Times New Roman"/>
          <w:b w:val="false"/>
          <w:i w:val="false"/>
          <w:color w:val="000000"/>
          <w:sz w:val="28"/>
        </w:rPr>
        <w:t>
      В таком порядке, как указано в таблице, планируется решение вопроса недостающих сельским округам пастбищ.</w:t>
      </w:r>
    </w:p>
    <w:bookmarkEnd w:id="82"/>
    <w:bookmarkStart w:name="z96" w:id="83"/>
    <w:p>
      <w:pPr>
        <w:spacing w:after="0"/>
        <w:ind w:left="0"/>
        <w:jc w:val="both"/>
      </w:pPr>
      <w:r>
        <w:rPr>
          <w:rFonts w:ascii="Times New Roman"/>
          <w:b w:val="false"/>
          <w:i w:val="false"/>
          <w:color w:val="000000"/>
          <w:sz w:val="28"/>
        </w:rPr>
        <w:t>
      Обеспечение пастбищами для скота жителей населенных пунктов Махамбетского района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979"/>
        <w:gridCol w:w="488"/>
        <w:gridCol w:w="4"/>
        <w:gridCol w:w="1296"/>
        <w:gridCol w:w="1302"/>
        <w:gridCol w:w="2115"/>
        <w:gridCol w:w="1572"/>
        <w:gridCol w:w="2296"/>
        <w:gridCol w:w="49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 скота</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пастбища, гектар</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граничащие с населенным пунктами, гектар</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Обхот+, -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1</w:t>
            </w:r>
          </w:p>
          <w:bookmarkEnd w:id="8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2</w:t>
            </w:r>
          </w:p>
          <w:bookmarkEnd w:id="8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- 41278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Махамбет 4126 гектар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Сарытогай 731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3</w:t>
            </w:r>
          </w:p>
          <w:bookmarkEnd w:id="87"/>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Алмалы 690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Береке 367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4</w:t>
            </w:r>
          </w:p>
          <w:bookmarkEnd w:id="88"/>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Бейбарыс 1766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Талдыкуль 644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Аккайын 162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5</w:t>
            </w:r>
          </w:p>
          <w:bookmarkEnd w:id="89"/>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Сарайчиковский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Сарайшык 3159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Сарайчик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0"/>
          <w:p>
            <w:pPr>
              <w:spacing w:after="20"/>
              <w:ind w:left="20"/>
              <w:jc w:val="both"/>
            </w:pPr>
            <w:r>
              <w:rPr>
                <w:rFonts w:ascii="Times New Roman"/>
                <w:b w:val="false"/>
                <w:i w:val="false"/>
                <w:color w:val="000000"/>
                <w:sz w:val="20"/>
              </w:rPr>
              <w:t>
6</w:t>
            </w:r>
          </w:p>
          <w:bookmarkEnd w:id="90"/>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Жалгансай 1650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1"/>
          <w:p>
            <w:pPr>
              <w:spacing w:after="20"/>
              <w:ind w:left="20"/>
              <w:jc w:val="both"/>
            </w:pPr>
            <w:r>
              <w:rPr>
                <w:rFonts w:ascii="Times New Roman"/>
                <w:b w:val="false"/>
                <w:i w:val="false"/>
                <w:color w:val="000000"/>
                <w:sz w:val="20"/>
              </w:rPr>
              <w:t>
7</w:t>
            </w:r>
          </w:p>
          <w:bookmarkEnd w:id="91"/>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Тандай 15523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Есмахан 2543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Коздикара 6821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Томан 11257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2"/>
          <w:p>
            <w:pPr>
              <w:spacing w:after="20"/>
              <w:ind w:left="20"/>
              <w:jc w:val="both"/>
            </w:pPr>
            <w:r>
              <w:rPr>
                <w:rFonts w:ascii="Times New Roman"/>
                <w:b w:val="false"/>
                <w:i w:val="false"/>
                <w:color w:val="000000"/>
                <w:sz w:val="20"/>
              </w:rPr>
              <w:t>
8</w:t>
            </w:r>
          </w:p>
          <w:bookmarkEnd w:id="92"/>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Ақтогайский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Актогай 7915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Атамбаев</w:t>
            </w:r>
            <w:r>
              <w:br/>
            </w:r>
            <w:r>
              <w:rPr>
                <w:rFonts w:ascii="Times New Roman"/>
                <w:b w:val="false"/>
                <w:i w:val="false"/>
                <w:color w:val="000000"/>
                <w:sz w:val="20"/>
              </w:rPr>
              <w:t>
580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Кенорис 580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Бала Ораз 579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3"/>
          <w:p>
            <w:pPr>
              <w:spacing w:after="20"/>
              <w:ind w:left="20"/>
              <w:jc w:val="both"/>
            </w:pPr>
            <w:r>
              <w:rPr>
                <w:rFonts w:ascii="Times New Roman"/>
                <w:b w:val="false"/>
                <w:i w:val="false"/>
                <w:color w:val="000000"/>
                <w:sz w:val="20"/>
              </w:rPr>
              <w:t>
9</w:t>
            </w:r>
          </w:p>
          <w:bookmarkEnd w:id="93"/>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 4785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4"/>
          <w:p>
            <w:pPr>
              <w:spacing w:after="20"/>
              <w:ind w:left="20"/>
              <w:jc w:val="both"/>
            </w:pPr>
            <w:r>
              <w:rPr>
                <w:rFonts w:ascii="Times New Roman"/>
                <w:b w:val="false"/>
                <w:i w:val="false"/>
                <w:color w:val="000000"/>
                <w:sz w:val="20"/>
              </w:rPr>
              <w:t>
10</w:t>
            </w:r>
          </w:p>
          <w:bookmarkEnd w:id="94"/>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Испульский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Есбол 7349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Ортақшыл 12272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Енбекшил 653 гектар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5"/>
          <w:p>
            <w:pPr>
              <w:spacing w:after="20"/>
              <w:ind w:left="20"/>
              <w:jc w:val="both"/>
            </w:pPr>
            <w:r>
              <w:rPr>
                <w:rFonts w:ascii="Times New Roman"/>
                <w:b w:val="false"/>
                <w:i w:val="false"/>
                <w:color w:val="000000"/>
                <w:sz w:val="20"/>
              </w:rPr>
              <w:t>
11</w:t>
            </w:r>
          </w:p>
          <w:bookmarkEnd w:id="9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Акжаикский сельский округ</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Акжайык</w:t>
            </w:r>
            <w:r>
              <w:br/>
            </w:r>
            <w:r>
              <w:rPr>
                <w:rFonts w:ascii="Times New Roman"/>
                <w:b w:val="false"/>
                <w:i w:val="false"/>
                <w:color w:val="000000"/>
                <w:sz w:val="20"/>
              </w:rPr>
              <w:t>
9961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 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96"/>
    <w:p>
      <w:pPr>
        <w:spacing w:after="0"/>
        <w:ind w:left="0"/>
        <w:jc w:val="both"/>
      </w:pPr>
      <w:r>
        <w:rPr>
          <w:rFonts w:ascii="Times New Roman"/>
          <w:b w:val="false"/>
          <w:i w:val="false"/>
          <w:color w:val="000000"/>
          <w:sz w:val="28"/>
        </w:rPr>
        <w:t xml:space="preserve">
      Нет необходимости в пастбищах для перераспределения поголовья сельскохозяйственных животных физических и (или) юридических лиц, у которых отсутствуют пастбища. </w:t>
      </w:r>
    </w:p>
    <w:bookmarkEnd w:id="96"/>
    <w:bookmarkStart w:name="z203" w:id="97"/>
    <w:p>
      <w:pPr>
        <w:spacing w:after="0"/>
        <w:ind w:left="0"/>
        <w:jc w:val="left"/>
      </w:pPr>
      <w:r>
        <w:rPr>
          <w:rFonts w:ascii="Times New Roman"/>
          <w:b/>
          <w:i w:val="false"/>
          <w:color w:val="000000"/>
        </w:rPr>
        <w:t xml:space="preserve"> 4. Разработка схемы обращения пастбища в целях эффективного использования отдаленных пастбищ</w:t>
      </w:r>
    </w:p>
    <w:bookmarkEnd w:id="97"/>
    <w:bookmarkStart w:name="z204" w:id="98"/>
    <w:p>
      <w:pPr>
        <w:spacing w:after="0"/>
        <w:ind w:left="0"/>
        <w:jc w:val="both"/>
      </w:pPr>
      <w:r>
        <w:rPr>
          <w:rFonts w:ascii="Times New Roman"/>
          <w:b w:val="false"/>
          <w:i w:val="false"/>
          <w:color w:val="000000"/>
          <w:sz w:val="28"/>
        </w:rPr>
        <w:t>
      Площадь пастбищ Махамбетского района полностью обеспечивает поголовье скота. Вообще, на практике научно доказанно, что годовой баланс кормов составляет 60-70 процентов фуража.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А также, самое главное, с научной точки зрения и в рамках закона необходимо формирование скота на пастбищах, богатых полезными веществами и легко усваиваемых природных пастбищах.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повторяющаяся через несколько лет без снижения его продуктивности. Например, в нашей области можно организовать полевой и песочный выпас скота и использование пастбищ, чередуя в годовом круге 4 сезона. В 1 год – весной, во 2 год – осенью, в 3 год – летом, в 4-зимой, весной. Так, пастбища используются в зависимости от условий геоботаники, водоснабжения. Это как пример. В целом, применение пастбищеоборота и системы использования окружения, чередование по сезонам, позволяет сохранить продуктивность растений.</w:t>
      </w:r>
    </w:p>
    <w:bookmarkEnd w:id="98"/>
    <w:bookmarkStart w:name="z205" w:id="99"/>
    <w:p>
      <w:pPr>
        <w:spacing w:after="0"/>
        <w:ind w:left="0"/>
        <w:jc w:val="both"/>
      </w:pPr>
      <w:r>
        <w:rPr>
          <w:rFonts w:ascii="Times New Roman"/>
          <w:b w:val="false"/>
          <w:i w:val="false"/>
          <w:color w:val="000000"/>
          <w:sz w:val="28"/>
        </w:rPr>
        <w:t>
      Максимально удобное для пастбищ Буденевские, Жарсуатские сельские округа с распространенной полынью и различными травами – во все сезоны, по порядку, ежегодный выпас скота с составлением 4-поясного пастбищеоборота.</w:t>
      </w:r>
    </w:p>
    <w:bookmarkEnd w:id="99"/>
    <w:bookmarkStart w:name="z206" w:id="100"/>
    <w:p>
      <w:pPr>
        <w:spacing w:after="0"/>
        <w:ind w:left="0"/>
        <w:jc w:val="both"/>
      </w:pPr>
      <w:r>
        <w:rPr>
          <w:rFonts w:ascii="Times New Roman"/>
          <w:b w:val="false"/>
          <w:i w:val="false"/>
          <w:color w:val="000000"/>
          <w:sz w:val="28"/>
        </w:rPr>
        <w:t>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 осенью. Только в этом случае растительность пастбищ может дать семена и изношенные участки могут восстановить прежнюю производительность.</w:t>
      </w:r>
    </w:p>
    <w:bookmarkEnd w:id="100"/>
    <w:bookmarkStart w:name="z207" w:id="101"/>
    <w:p>
      <w:pPr>
        <w:spacing w:after="0"/>
        <w:ind w:left="0"/>
        <w:jc w:val="both"/>
      </w:pPr>
      <w:r>
        <w:rPr>
          <w:rFonts w:ascii="Times New Roman"/>
          <w:b w:val="false"/>
          <w:i w:val="false"/>
          <w:color w:val="000000"/>
          <w:sz w:val="28"/>
        </w:rPr>
        <w:t>
      А также, в условиях пустынных и полупустынных пастбищ можно предложить следующие схемы переходных пастбищ и сенокосооборотов. Для восстановления способностей роста трав изношенных пастбищ благоприятно использовать трехлетний переходный пастбищный и сенокосный оборот.</w:t>
      </w:r>
    </w:p>
    <w:bookmarkEnd w:id="101"/>
    <w:bookmarkStart w:name="z208" w:id="102"/>
    <w:p>
      <w:pPr>
        <w:spacing w:after="0"/>
        <w:ind w:left="0"/>
        <w:jc w:val="both"/>
      </w:pPr>
      <w:r>
        <w:rPr>
          <w:rFonts w:ascii="Times New Roman"/>
          <w:b w:val="false"/>
          <w:i w:val="false"/>
          <w:color w:val="000000"/>
          <w:sz w:val="28"/>
        </w:rPr>
        <w:t>
      В 1 год- травы засеиваются массово или дополнительно, расслабляются;</w:t>
      </w:r>
    </w:p>
    <w:bookmarkEnd w:id="102"/>
    <w:bookmarkStart w:name="z209" w:id="103"/>
    <w:p>
      <w:pPr>
        <w:spacing w:after="0"/>
        <w:ind w:left="0"/>
        <w:jc w:val="both"/>
      </w:pPr>
      <w:r>
        <w:rPr>
          <w:rFonts w:ascii="Times New Roman"/>
          <w:b w:val="false"/>
          <w:i w:val="false"/>
          <w:color w:val="000000"/>
          <w:sz w:val="28"/>
        </w:rPr>
        <w:t xml:space="preserve">
      во 2 год- травы расслабляются или вырубаются (после созревания семян трав); </w:t>
      </w:r>
    </w:p>
    <w:bookmarkEnd w:id="103"/>
    <w:bookmarkStart w:name="z210" w:id="104"/>
    <w:p>
      <w:pPr>
        <w:spacing w:after="0"/>
        <w:ind w:left="0"/>
        <w:jc w:val="both"/>
      </w:pPr>
      <w:r>
        <w:rPr>
          <w:rFonts w:ascii="Times New Roman"/>
          <w:b w:val="false"/>
          <w:i w:val="false"/>
          <w:color w:val="000000"/>
          <w:sz w:val="28"/>
        </w:rPr>
        <w:t xml:space="preserve">
      в 3 год- скот пасется или повторяется в четырехгодичной последовательности, размещенный в обороте в предыдущих годах; </w:t>
      </w:r>
    </w:p>
    <w:bookmarkEnd w:id="104"/>
    <w:bookmarkStart w:name="z211" w:id="105"/>
    <w:p>
      <w:pPr>
        <w:spacing w:after="0"/>
        <w:ind w:left="0"/>
        <w:jc w:val="both"/>
      </w:pPr>
      <w:r>
        <w:rPr>
          <w:rFonts w:ascii="Times New Roman"/>
          <w:b w:val="false"/>
          <w:i w:val="false"/>
          <w:color w:val="000000"/>
          <w:sz w:val="28"/>
        </w:rPr>
        <w:t>
      в 3-4 годы- скот пасется.</w:t>
      </w:r>
    </w:p>
    <w:bookmarkEnd w:id="105"/>
    <w:bookmarkStart w:name="z212" w:id="106"/>
    <w:p>
      <w:pPr>
        <w:spacing w:after="0"/>
        <w:ind w:left="0"/>
        <w:jc w:val="both"/>
      </w:pPr>
      <w:r>
        <w:rPr>
          <w:rFonts w:ascii="Times New Roman"/>
          <w:b w:val="false"/>
          <w:i w:val="false"/>
          <w:color w:val="000000"/>
          <w:sz w:val="28"/>
        </w:rPr>
        <w:t>
      Для коренного улучшения пастбищ рекомендуется выращивать изень, ячмень, пырей, полынно подобные аридные культуры. Эти растения хорошо переносят засушливость воздуха и почвы, в самые засушливые годы приостанавливают свой рост и развитие, а при выпадении осадков быстро используя влагу, начинают оперативно развиваться, что будет очень важным в природных условиях всех районов. Здесь большой резерв размножения кормовых растений.</w:t>
      </w:r>
    </w:p>
    <w:bookmarkEnd w:id="106"/>
    <w:bookmarkStart w:name="z213" w:id="107"/>
    <w:p>
      <w:pPr>
        <w:spacing w:after="0"/>
        <w:ind w:left="0"/>
        <w:jc w:val="both"/>
      </w:pPr>
      <w:r>
        <w:rPr>
          <w:rFonts w:ascii="Times New Roman"/>
          <w:b w:val="false"/>
          <w:i w:val="false"/>
          <w:color w:val="000000"/>
          <w:sz w:val="28"/>
        </w:rPr>
        <w:t>
      В таком порядке, можно сделать пяти-шести годовой пастбищеоборот и площадь выпаса скота изменится в зависимости от производительности травы, стабильности, роста поголовья скота.</w:t>
      </w:r>
    </w:p>
    <w:bookmarkEnd w:id="107"/>
    <w:bookmarkStart w:name="z214" w:id="108"/>
    <w:p>
      <w:pPr>
        <w:spacing w:after="0"/>
        <w:ind w:left="0"/>
        <w:jc w:val="left"/>
      </w:pPr>
      <w:r>
        <w:rPr>
          <w:rFonts w:ascii="Times New Roman"/>
          <w:b/>
          <w:i w:val="false"/>
          <w:color w:val="000000"/>
        </w:rPr>
        <w:t xml:space="preserve"> 5. Заключение </w:t>
      </w:r>
    </w:p>
    <w:bookmarkEnd w:id="108"/>
    <w:bookmarkStart w:name="z215" w:id="109"/>
    <w:p>
      <w:pPr>
        <w:spacing w:after="0"/>
        <w:ind w:left="0"/>
        <w:jc w:val="both"/>
      </w:pPr>
      <w:r>
        <w:rPr>
          <w:rFonts w:ascii="Times New Roman"/>
          <w:b w:val="false"/>
          <w:i w:val="false"/>
          <w:color w:val="000000"/>
          <w:sz w:val="28"/>
        </w:rPr>
        <w:t xml:space="preserve">
      Развитие животноводческой отрасли в стране связаны в первую очередь с постоянным налаживанием кормовой базы и его укреплением. Основным составом кормов скота является травянистость пастбищ. В соответствии с требованиями Закона организация эффективного использования земель в районе, требует нескольких мероприятий в системе управления, планирования. Сегодня вопросы рационального и устойчивого управления пастбищными ресурсами актуальны. О необходимости возрождения отечественного животноводства, с учетом исторически сложившихся традиций, а также научно-технического управления отметил Глава государства в Стратегии "Казахстан-2050". </w:t>
      </w:r>
    </w:p>
    <w:bookmarkEnd w:id="109"/>
    <w:bookmarkStart w:name="z216" w:id="110"/>
    <w:p>
      <w:pPr>
        <w:spacing w:after="0"/>
        <w:ind w:left="0"/>
        <w:jc w:val="both"/>
      </w:pPr>
      <w:r>
        <w:rPr>
          <w:rFonts w:ascii="Times New Roman"/>
          <w:b w:val="false"/>
          <w:i w:val="false"/>
          <w:color w:val="000000"/>
          <w:sz w:val="28"/>
        </w:rPr>
        <w:t>
      Одним словом в настоящем плане предусмотрены конкретные меры, регулирующие аккуратное использование природных пастбищ для развития животноводства в районе. Если в районе наладить эффективное использование пастбищных угодий, можно повысить поголовье скота, производимого им молока, мяса и других продуктов.</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плану по управлению пастбищами и их использованию Махамбетского района на 2017-2018 годы</w:t>
            </w:r>
          </w:p>
        </w:tc>
      </w:tr>
    </w:tbl>
    <w:bookmarkStart w:name="z218"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Махамбетского района на 2017-2018 годы</w:t>
            </w:r>
          </w:p>
        </w:tc>
      </w:tr>
    </w:tbl>
    <w:bookmarkStart w:name="z220" w:id="112"/>
    <w:p>
      <w:pPr>
        <w:spacing w:after="0"/>
        <w:ind w:left="0"/>
        <w:jc w:val="left"/>
      </w:pPr>
      <w:r>
        <w:rPr>
          <w:rFonts w:ascii="Times New Roman"/>
          <w:b/>
          <w:i w:val="false"/>
          <w:color w:val="000000"/>
        </w:rPr>
        <w:t xml:space="preserve"> Схема размещения на отгонных пастбищах поголовья сельскохозяйственных животных физических и (или) юридических лиц, не обеспеченных пастбищами, расположенных в пределах село Махамбет и сельских округах Махамбетского района</w:t>
      </w:r>
    </w:p>
    <w:bookmarkEnd w:id="112"/>
    <w:bookmarkStart w:name="z22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