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b595" w14:textId="f29b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11 апреля 2017 года № 350. Зарегистрировано Департаментом юстиции Южно-Казахстанской области 12 апреля 2017 года № 4031. Утратило силу постановлением акимата Мактааральского района Южно-Казахстанской области от 18 апреля 2018 года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18.04.2018 № 534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4 марта 2016 года № 196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 (зарегистрированный в Реестре государственной регистрации нормативных правовых актов за № 3699, опубликованный в газете "Мактаарал" 22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Мактааральского района" в порядке, установленном законодательными актами Республики Казахстан,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Мактааральского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Б.Тегембаева.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350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Мактааральского районного бюджета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3.Оценка проводится по результатам деятельности служащего корпуса "Б" на занимаемой должности: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Непосредственным руководителем служащего корпуса "Б" является лицо, которому данный служащий подчинен согласно своей должностной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города, поселка, сельских округов оценка проводится акимом района либо по его уполномочию одним из его заместителей.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служащего корпуса "Б" с результатами оценки осуществляется в письменной или электронной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 </w:t>
      </w:r>
      <w:r>
        <w:rPr>
          <w:rFonts w:ascii="Times New Roman"/>
          <w:b w:val="false"/>
          <w:i/>
          <w:color w:val="000000"/>
          <w:sz w:val="28"/>
        </w:rPr>
        <w:t>(Фамилия, инициалы)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 дата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________________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94"/>
        <w:gridCol w:w="1434"/>
        <w:gridCol w:w="1434"/>
        <w:gridCol w:w="2787"/>
        <w:gridCol w:w="1908"/>
        <w:gridCol w:w="1587"/>
        <w:gridCol w:w="386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дисципли-ны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794"/>
        <w:gridCol w:w="2340"/>
        <w:gridCol w:w="488"/>
        <w:gridCol w:w="1716"/>
        <w:gridCol w:w="3418"/>
        <w:gridCol w:w="1518"/>
        <w:gridCol w:w="16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 xml:space="preserve">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60"/>
        <w:gridCol w:w="4641"/>
        <w:gridCol w:w="1847"/>
        <w:gridCol w:w="2543"/>
        <w:gridCol w:w="1009"/>
      </w:tblGrid>
      <w:tr>
        <w:trPr>
          <w:trHeight w:val="30" w:hRule="atLeast"/>
        </w:trPr>
        <w:tc>
          <w:tcPr>
            <w:tcW w:w="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/>
          <w:color w:val="000000"/>
          <w:sz w:val="28"/>
        </w:rPr>
        <w:t>иницалы,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