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58e31" w14:textId="f258e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маслихата Мактааральского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Южно-Казахстанской области от 5 апреля 2017 года № 13-101-VI. Зарегистрировано Департаментом юстиции Южно-Казахстанской области 20 апреля 2017 года № 4069. Утратило силу решением Мактааральского районного маслихата Южно-Казахстанской области от 19 июня 2018 года № 32-224-VI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Мактааральского районного маслихата Южно-Казахстанской области от 19.06.2018 № 32-224-VI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служащих",зарегистрированного в Реестре государственной регистрации нормативных правовых актов за № 14637, Мактааральский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маслихата Мактааральского районасогласно приложениямк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Мактааральского районного маслихата от 23 февраля 2016 года № 55-357-V "Об утверждении Методики оценки деятельности административных государственных служащих корпуса "Б" аппарата Мактааральского районного маслихата" (зарегистрировано в Реестре государственной регистрации нормативных правовых актов за № 3663, опубликованного 8апреля 2016 года в газете "Мактаарал").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последня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Б.Жуманов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Мактааральского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М.Жайлымшиев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"5" апреля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13-101-VІ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аппарата маслихата Мактааральского района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аппарата маслихата Мактааральского района (далее –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аппарата маслихата Мактааральского района (далее – служащие корпуса "Б").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ответственный специалист заслужбу управления персоналом.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ответственный специалист за службу управления персоналом. Секретарь Комиссии по оценке не принимает участие в голосовании.</w:t>
      </w:r>
    </w:p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ответственному специалисту за службой управления персоналом. Второй экземпляр находится у руководителя структурного подразделения служащего корпуса "Б".</w:t>
      </w:r>
    </w:p>
    <w:bookmarkEnd w:id="19"/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Ответственный специалист за службу управления персоналом формирует график проведения оценки по согласованию с председателем Комиссии по оценке.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за службу управленияперсоналомза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</w:t>
      </w:r>
    </w:p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ответственного специалиста за службу управления персоналом и непосредственного руководителя служащего корпуса "Б".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"–2" балла за каждый факт нарушения.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ответственным специалистом за службу управления персоналом,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ответственным специалистом за службу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где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квартальная оценка;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Итоговая квартальная оценка выставляется по следующей шкале: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менее 80 баллов – "неудовлетворительно",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80 до 105 (включительно) баллов – "удовлетворительно",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106 до 130 (включительно) баллов – "эффективно",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130 баллов – "превосходно".</w:t>
      </w:r>
    </w:p>
    <w:bookmarkStart w:name="z3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ответственным специалистом за службой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ответственным специалистом за службой управления персоналом не позднее пяти рабочих дней до заседания Комиссии по оценке по следующей формуле: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857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годовая оценка;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– средняя оценка за отчетные кварталы (средне арифметическое значение). При этом полученное средне 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оценка выполнения индивидуального плана работы (средне арифметическое значение).</w:t>
      </w:r>
    </w:p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End w:id="42"/>
    <w:bookmarkStart w:name="z4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Ответственный специалист за службу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за службу управления персоналомпредоставляет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Ответственный специалист за службу управления персоналомознакамливает служащего корпуса "Б" с результатами оценки в течение двух рабочих дней со дня ее завершения.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ответственным специалистом за службой управления персоналомв произвольной форме составляется акт об отказе от ознакомления.</w:t>
      </w:r>
    </w:p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ответственного специалиста за службой управления персоналом.</w:t>
      </w:r>
    </w:p>
    <w:bookmarkEnd w:id="47"/>
    <w:bookmarkStart w:name="z5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52"/>
    <w:bookmarkStart w:name="z5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</w:t>
      </w:r>
      <w:r>
        <w:rPr>
          <w:rFonts w:ascii="Times New Roman"/>
          <w:b w:val="false"/>
          <w:i/>
          <w:color w:val="000000"/>
          <w:sz w:val="28"/>
        </w:rPr>
        <w:t>при его наличии</w:t>
      </w:r>
      <w:r>
        <w:rPr>
          <w:rFonts w:ascii="Times New Roman"/>
          <w:b w:val="false"/>
          <w:i w:val="false"/>
          <w:color w:val="000000"/>
          <w:sz w:val="28"/>
        </w:rPr>
        <w:t>) служащего)________________________________________________________________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7"/>
        <w:gridCol w:w="5780"/>
        <w:gridCol w:w="2683"/>
      </w:tblGrid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показатели1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3"/>
        <w:gridCol w:w="6667"/>
      </w:tblGrid>
      <w:tr>
        <w:trPr>
          <w:trHeight w:val="30" w:hRule="atLeast"/>
        </w:trPr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руководитель(Фамилия, инициалы)____________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___________________квартал 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</w:t>
      </w:r>
      <w:r>
        <w:rPr>
          <w:rFonts w:ascii="Times New Roman"/>
          <w:b w:val="false"/>
          <w:i/>
          <w:color w:val="000000"/>
          <w:sz w:val="28"/>
        </w:rPr>
        <w:t>оцениваемый период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Должность оцениваемого служащего: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Оценкаисполнениядолжностныхобязанностей: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2164"/>
        <w:gridCol w:w="1480"/>
        <w:gridCol w:w="1295"/>
        <w:gridCol w:w="2891"/>
        <w:gridCol w:w="1978"/>
        <w:gridCol w:w="1398"/>
        <w:gridCol w:w="401"/>
      </w:tblGrid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Оценканепосредственногоруководителя</w:t>
            </w:r>
          </w:p>
        </w:tc>
        <w:tc>
          <w:tcPr>
            <w:tcW w:w="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поощ-ряемых показа-телях и видах деятель-ности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исполни-тельской дисциплины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трудовойдисципли-ны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поощ-ряемых показа-телях и видах деятель-ности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исполни-тельской дисциплины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Результатоценки: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</w:t>
      </w:r>
      <w:r>
        <w:rPr>
          <w:rFonts w:ascii="Times New Roman"/>
          <w:b w:val="false"/>
          <w:i/>
          <w:color w:val="000000"/>
          <w:sz w:val="28"/>
        </w:rPr>
        <w:t>оцениваемый год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Оценкавыполненияиндивидуальногоплана: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839"/>
        <w:gridCol w:w="2395"/>
        <w:gridCol w:w="363"/>
        <w:gridCol w:w="1920"/>
        <w:gridCol w:w="2362"/>
        <w:gridCol w:w="2362"/>
        <w:gridCol w:w="24"/>
      </w:tblGrid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Результатысамооценки служащего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Результатыоценкируководителя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наименование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государственного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органа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(вид оценки: квартальная/ годовая и оцениваемый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период (квартал и (или)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27"/>
        <w:gridCol w:w="4894"/>
        <w:gridCol w:w="1564"/>
        <w:gridCol w:w="2720"/>
        <w:gridCol w:w="695"/>
      </w:tblGrid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результатахоценки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Корректировка Комиссией результатов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случае наличия)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РекомендацииКомиссии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Проверено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_________________________________ Дата: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</w:t>
      </w:r>
      <w:r>
        <w:rPr>
          <w:rFonts w:ascii="Times New Roman"/>
          <w:b w:val="false"/>
          <w:i/>
          <w:color w:val="000000"/>
          <w:sz w:val="28"/>
        </w:rPr>
        <w:t>фамилия,ин</w:t>
      </w:r>
      <w:r>
        <w:rPr>
          <w:rFonts w:ascii="Times New Roman"/>
          <w:b w:val="false"/>
          <w:i/>
          <w:color w:val="000000"/>
          <w:sz w:val="28"/>
        </w:rPr>
        <w:t>и</w:t>
      </w:r>
      <w:r>
        <w:rPr>
          <w:rFonts w:ascii="Times New Roman"/>
          <w:b w:val="false"/>
          <w:i/>
          <w:color w:val="000000"/>
          <w:sz w:val="28"/>
        </w:rPr>
        <w:t>ц</w:t>
      </w:r>
      <w:r>
        <w:rPr>
          <w:rFonts w:ascii="Times New Roman"/>
          <w:b w:val="false"/>
          <w:i/>
          <w:color w:val="000000"/>
          <w:sz w:val="28"/>
        </w:rPr>
        <w:t>и</w:t>
      </w:r>
      <w:r>
        <w:rPr>
          <w:rFonts w:ascii="Times New Roman"/>
          <w:b w:val="false"/>
          <w:i/>
          <w:color w:val="000000"/>
          <w:sz w:val="28"/>
        </w:rPr>
        <w:t>алы,подпись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_______________________________ Дата: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</w:t>
      </w:r>
      <w:r>
        <w:rPr>
          <w:rFonts w:ascii="Times New Roman"/>
          <w:b w:val="false"/>
          <w:i/>
          <w:color w:val="000000"/>
          <w:sz w:val="28"/>
        </w:rPr>
        <w:t>фамилия,иниц</w:t>
      </w:r>
      <w:r>
        <w:rPr>
          <w:rFonts w:ascii="Times New Roman"/>
          <w:b w:val="false"/>
          <w:i/>
          <w:color w:val="000000"/>
          <w:sz w:val="28"/>
        </w:rPr>
        <w:t>и</w:t>
      </w:r>
      <w:r>
        <w:rPr>
          <w:rFonts w:ascii="Times New Roman"/>
          <w:b w:val="false"/>
          <w:i/>
          <w:color w:val="000000"/>
          <w:sz w:val="28"/>
        </w:rPr>
        <w:t>алы,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______________________________________ Дата: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</w:t>
      </w:r>
      <w:r>
        <w:rPr>
          <w:rFonts w:ascii="Times New Roman"/>
          <w:b w:val="false"/>
          <w:i/>
          <w:color w:val="000000"/>
          <w:sz w:val="28"/>
        </w:rPr>
        <w:t>фамилия,иниц</w:t>
      </w:r>
      <w:r>
        <w:rPr>
          <w:rFonts w:ascii="Times New Roman"/>
          <w:b w:val="false"/>
          <w:i/>
          <w:color w:val="000000"/>
          <w:sz w:val="28"/>
        </w:rPr>
        <w:t>и</w:t>
      </w:r>
      <w:r>
        <w:rPr>
          <w:rFonts w:ascii="Times New Roman"/>
          <w:b w:val="false"/>
          <w:i/>
          <w:color w:val="000000"/>
          <w:sz w:val="28"/>
        </w:rPr>
        <w:t>алы,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