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56a2" w14:textId="765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8 июня 2017 года № 12/3-VI. Зарегистрировано Департаментом юстиции Восточно-Казахстанской области 23 июня 2017 года № 5096.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3337, опубликовано 23 мая 2014 года в газетах "Ақ бұлақ", "Огни Прииртышья")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дети-сироты и дети, оставшиеся без попечения родителей;";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несовершеннолетние, находящиеся в организациях образования с особым режимом содержания;";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граждане (семьи) которым причинен ущерб либо их имуществу вследствие стихийного бедствия или пожара;";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 следующим категориям получателей:";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изложить в следующей редакции: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"многодетным матерям, награжденным подвесками "Алтын алқа", "Күміс алқа" или получившим ранее звание "Мать-героиня", а также награжденным орденом "Материнская слава" I и II степени – 10000 тенге;";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и голода - 31 мая - жертвам массовых политических репрессий – 3000 тенге;".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