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1643" w14:textId="f671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декабря 2017 года № 307. Зарегистрировано Департаментом юстиции Западно-Казахстанской области 27 декабря 2017 года № 5013.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изложен в новой редакции на государственном языке, текст на русском языке не меняется постановлением акимата Западно-Казахстанской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 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опубликования.).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Азбаева Б.О.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307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перерабатывающих предприятий на закуп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для производства продуктов ее глубокой переработки"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Западно-Казахстанской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 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опубликования.).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11284) (далее – Стандарт).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 физическим и юридическим лицам (далее – услугополучатель).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- электронная.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также в "личный кабинет" информационной системы субсидирования.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подача заявки на субсидии (далее - заявка) в форме электронного документа, заверенного электронной цифровой подписью услугополучателей (далее - ЭЦП),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3 (трех) рабочих дней с момента регистрации услугополучателя подтверждает принятие заявки путем подписания уведомления ЭЦП на портале или мотивированный отказ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направляет сформированные платежные документы к ответственному исполнителю отдела финансов услугодателя.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заявки или отказ;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 в течение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платежных поручений и уведомление о перечислении причитающихся субсидий.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Регламент).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бизнес-идентификационного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БИН и пароля (процесс авторизации) на портале для получения государственной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БИН и пароль;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 и БИН указанным в регистрационном свидетельстве ЭЦП;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"электронного правительства"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или мотивированный ответ об отказе в оказании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продуктов"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перерабатывающих предприятий на закуп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для производства продуктов"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продуктов"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 через портал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