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8b5" w14:textId="9d4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декабря 2017 года № 17-5. Зарегистрировано Департаментом юстиции Западно-Казахстанской области 27 декабря 2017 года № 5014. Утратило силу решением Уральского городского маслихата Западно-Казахстанской области от 3 октября 2019 года № 35-3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03.10.2019 </w:t>
      </w:r>
      <w:r>
        <w:rPr>
          <w:rFonts w:ascii="Times New Roman"/>
          <w:b w:val="false"/>
          <w:i w:val="false"/>
          <w:color w:val="ff0000"/>
          <w:sz w:val="28"/>
        </w:rPr>
        <w:t>№ 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2017 года №17-5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города создает комиссию (далее – комиссия), в состав которой входят заместитель акима города,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"Отдел жилищно-коммунального хозяйства и жилищной инспекции города Уральска" (далее 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города Уральска информацию об объемах, видах, месторасположении, состоянии отходов и мерах предпринимаемых по управлению ими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 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города Уральска с включением представителей отделов акимата города Уральска и заинтересованных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определяются отделом.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города Уральска.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города Уральска.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города Уральска, а также незамедлительно размещаются на интернет-ресурсе акимата города.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города Уральска.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городского бюджета.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"____"__________________20______года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20______года,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города Уральска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