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34b9" w14:textId="4ca3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февраля 2018 года № 135. Зарегистрирован в Министерстве юстиции Республики Казахстан 5 марта 2018 года № 16499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от 27 февраля 2018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от "___"___________ 2018 года</w:t>
      </w:r>
      <w:r>
        <w:br/>
      </w:r>
      <w:r>
        <w:rPr>
          <w:rFonts w:ascii="Times New Roman"/>
          <w:b w:val="false"/>
          <w:i w:val="false"/>
          <w:color w:val="000000"/>
          <w:sz w:val="28"/>
        </w:rPr>
        <w:t>"СОГЛАСОВАН"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Р. Даленов</w:t>
      </w:r>
      <w:r>
        <w:br/>
      </w:r>
      <w:r>
        <w:rPr>
          <w:rFonts w:ascii="Times New Roman"/>
          <w:b w:val="false"/>
          <w:i w:val="false"/>
          <w:color w:val="000000"/>
          <w:sz w:val="28"/>
        </w:rPr>
        <w:t>от 26 февраля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по инвестициям и развитию Республики Казахстан</w:t>
            </w:r>
            <w:r>
              <w:br/>
            </w:r>
            <w:r>
              <w:rPr>
                <w:rFonts w:ascii="Times New Roman"/>
                <w:b w:val="false"/>
                <w:i w:val="false"/>
                <w:color w:val="000000"/>
                <w:sz w:val="20"/>
              </w:rPr>
              <w:t>от 26 февраля 2018 года № 135</w:t>
            </w:r>
          </w:p>
        </w:tc>
      </w:tr>
    </w:tbl>
    <w:bookmarkStart w:name="z17" w:id="11"/>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 и дополнение</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 опубликован 15 мая 2015 года в информационно-правовой системе "Әділет"):</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"10. Заказчик:</w:t>
      </w:r>
    </w:p>
    <w:bookmarkEnd w:id="14"/>
    <w:bookmarkStart w:name="z22" w:id="15"/>
    <w:p>
      <w:pPr>
        <w:spacing w:after="0"/>
        <w:ind w:left="0"/>
        <w:jc w:val="both"/>
      </w:pPr>
      <w:r>
        <w:rPr>
          <w:rFonts w:ascii="Times New Roman"/>
          <w:b w:val="false"/>
          <w:i w:val="false"/>
          <w:color w:val="000000"/>
          <w:sz w:val="28"/>
        </w:rPr>
        <w:t>
      1) самостоятельно либо с привлечением сторонних специалистов составляет задание на проектирование намеченного объекта.</w:t>
      </w:r>
    </w:p>
    <w:bookmarkEnd w:id="15"/>
    <w:bookmarkStart w:name="z23" w:id="16"/>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 и становится обязательным для сторон с момента его утверждения заказчиком.</w:t>
      </w:r>
    </w:p>
    <w:bookmarkEnd w:id="16"/>
    <w:bookmarkStart w:name="z24" w:id="17"/>
    <w:p>
      <w:pPr>
        <w:spacing w:after="0"/>
        <w:ind w:left="0"/>
        <w:jc w:val="both"/>
      </w:pPr>
      <w:r>
        <w:rPr>
          <w:rFonts w:ascii="Times New Roman"/>
          <w:b w:val="false"/>
          <w:i w:val="false"/>
          <w:color w:val="000000"/>
          <w:sz w:val="28"/>
        </w:rPr>
        <w:t>
      В процессе проектирования задание на проектирование по поручению заказчика корректируется и уточняется. В случае, если внесенные по инициативе заказчика поправки в задание на проектирование требуют переработки разработанных разделов предпроектной или проектной (проектно-сметной) документации, заключается дополнительное соглашение к договору с учетом выполненных объемов работ;</w:t>
      </w:r>
    </w:p>
    <w:bookmarkEnd w:id="17"/>
    <w:bookmarkStart w:name="z25" w:id="18"/>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(далее – Закон "О государственных закупках") осуществляет выбор организаций на выполнение изыскательских и (или) проектных работ, а при необходимости - научно-исследовательских, опытно-конструкторских и технологических работ, за исключением случаев, когда заказчик финансируется за счет негосударственных инвестиций, и заключает с ними договора;</w:t>
      </w:r>
    </w:p>
    <w:bookmarkEnd w:id="18"/>
    <w:bookmarkStart w:name="z26" w:id="19"/>
    <w:p>
      <w:pPr>
        <w:spacing w:after="0"/>
        <w:ind w:left="0"/>
        <w:jc w:val="both"/>
      </w:pPr>
      <w:r>
        <w:rPr>
          <w:rFonts w:ascii="Times New Roman"/>
          <w:b w:val="false"/>
          <w:i w:val="false"/>
          <w:color w:val="000000"/>
          <w:sz w:val="28"/>
        </w:rPr>
        <w:t xml:space="preserve">
      3) предоставляет проектной организации (генеральному проектировщику) правоустанавливающий документ на земельный участок, исходные материалы для разработки проектов строительства (архитектурно-планировочное задание, вертикальные планировочные отметки, выкопировку из проекта детальной планировки, типовые поперечные профили дорог и улиц, технические условия, схемы трасс наружных инженерных сетей) или реконструкции (перепланировки, переоборудования) решение на реконструкцию (перепланировку,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архитектурно-планировочное задание, технические условия и схемы трасс наружных инженерных сетей (при подаче заявителем опросного листа и топографической сьемки),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19"/>
    <w:bookmarkStart w:name="z27" w:id="20"/>
    <w:p>
      <w:pPr>
        <w:spacing w:after="0"/>
        <w:ind w:left="0"/>
        <w:jc w:val="both"/>
      </w:pPr>
      <w:r>
        <w:rPr>
          <w:rFonts w:ascii="Times New Roman"/>
          <w:b w:val="false"/>
          <w:i w:val="false"/>
          <w:color w:val="000000"/>
          <w:sz w:val="28"/>
        </w:rPr>
        <w:t xml:space="preserve">
      4) в случаях, предусмотренных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6 Закона "О государственных закупках", заказчик организует и проводит раздельные конкурсы на разработку и экспертизу проектов строительства (технико-экономических обоснований или проектно-сметной документации).</w:t>
      </w:r>
    </w:p>
    <w:bookmarkEnd w:id="20"/>
    <w:bookmarkStart w:name="z28" w:id="21"/>
    <w:p>
      <w:pPr>
        <w:spacing w:after="0"/>
        <w:ind w:left="0"/>
        <w:jc w:val="both"/>
      </w:pPr>
      <w:r>
        <w:rPr>
          <w:rFonts w:ascii="Times New Roman"/>
          <w:b w:val="false"/>
          <w:i w:val="false"/>
          <w:color w:val="000000"/>
          <w:sz w:val="28"/>
        </w:rPr>
        <w:t>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по своему усмотрению выбирает для проведения экспертизы любую аккредитованную экспертную организацию;</w:t>
      </w:r>
    </w:p>
    <w:bookmarkEnd w:id="21"/>
    <w:bookmarkStart w:name="z29" w:id="22"/>
    <w:p>
      <w:pPr>
        <w:spacing w:after="0"/>
        <w:ind w:left="0"/>
        <w:jc w:val="both"/>
      </w:pPr>
      <w:r>
        <w:rPr>
          <w:rFonts w:ascii="Times New Roman"/>
          <w:b w:val="false"/>
          <w:i w:val="false"/>
          <w:color w:val="000000"/>
          <w:sz w:val="28"/>
        </w:rPr>
        <w:t>
      5) предоставляет предпроектную (технико-экономическое обоснование) и проектную (проектно-сметную) документацию для проведения комплексной вневедомственной экспертизы.</w:t>
      </w:r>
    </w:p>
    <w:bookmarkEnd w:id="22"/>
    <w:bookmarkStart w:name="z30" w:id="23"/>
    <w:p>
      <w:pPr>
        <w:spacing w:after="0"/>
        <w:ind w:left="0"/>
        <w:jc w:val="both"/>
      </w:pPr>
      <w:r>
        <w:rPr>
          <w:rFonts w:ascii="Times New Roman"/>
          <w:b w:val="false"/>
          <w:i w:val="false"/>
          <w:color w:val="000000"/>
          <w:sz w:val="28"/>
        </w:rPr>
        <w:t>
      Положительное заключение экспертизы является основанием для:</w:t>
      </w:r>
    </w:p>
    <w:bookmarkEnd w:id="23"/>
    <w:bookmarkStart w:name="z31" w:id="24"/>
    <w:p>
      <w:pPr>
        <w:spacing w:after="0"/>
        <w:ind w:left="0"/>
        <w:jc w:val="both"/>
      </w:pPr>
      <w:r>
        <w:rPr>
          <w:rFonts w:ascii="Times New Roman"/>
          <w:b w:val="false"/>
          <w:i w:val="false"/>
          <w:color w:val="000000"/>
          <w:sz w:val="28"/>
        </w:rPr>
        <w:t>
      утверждения в установленном порядке предпроектной документации и принятия инвестором решения по дальнейшему инвестированию объекта строительства и разработке проектной (проектно-сметной) документации;</w:t>
      </w:r>
    </w:p>
    <w:bookmarkEnd w:id="24"/>
    <w:bookmarkStart w:name="z32" w:id="25"/>
    <w:p>
      <w:pPr>
        <w:spacing w:after="0"/>
        <w:ind w:left="0"/>
        <w:jc w:val="both"/>
      </w:pPr>
      <w:r>
        <w:rPr>
          <w:rFonts w:ascii="Times New Roman"/>
          <w:b w:val="false"/>
          <w:i w:val="false"/>
          <w:color w:val="000000"/>
          <w:sz w:val="28"/>
        </w:rPr>
        <w:t>
      утверждения проектной (проектно-сметной) документации на строительство и изменение (реконструкцию, расширение, техническое перевооружение, модернизацию, капитальный ремонт) объектов и их комплексов, прокладку инженерных и транспортных коммуникаций, инженерную подготовку территории, благоустройства и озеленения, а также начала производства строительно-монтажных работ по реализации проекта;</w:t>
      </w:r>
    </w:p>
    <w:bookmarkEnd w:id="25"/>
    <w:bookmarkStart w:name="z33" w:id="26"/>
    <w:p>
      <w:pPr>
        <w:spacing w:after="0"/>
        <w:ind w:left="0"/>
        <w:jc w:val="both"/>
      </w:pPr>
      <w:r>
        <w:rPr>
          <w:rFonts w:ascii="Times New Roman"/>
          <w:b w:val="false"/>
          <w:i w:val="false"/>
          <w:color w:val="000000"/>
          <w:sz w:val="28"/>
        </w:rPr>
        <w:t>
      6) обеспечивает устранение проектной организацией замечаний экспертизы;</w:t>
      </w:r>
    </w:p>
    <w:bookmarkEnd w:id="26"/>
    <w:bookmarkStart w:name="z34" w:id="27"/>
    <w:p>
      <w:pPr>
        <w:spacing w:after="0"/>
        <w:ind w:left="0"/>
        <w:jc w:val="both"/>
      </w:pPr>
      <w:r>
        <w:rPr>
          <w:rFonts w:ascii="Times New Roman"/>
          <w:b w:val="false"/>
          <w:i w:val="false"/>
          <w:color w:val="000000"/>
          <w:sz w:val="28"/>
        </w:rPr>
        <w:t>
      7) осуществляет приемку от генерального проектировщика окончательного варианта предпроектной или проектно-сметной документации в количестве не менее четырех экземпляров на бумажном носителе и в двух экземплярах на электронном носителе, хранение и передачу подрядчику, а также передает в архив организации, проводившей экспертизу.".</w:t>
      </w:r>
    </w:p>
    <w:bookmarkEnd w:id="27"/>
    <w:bookmarkStart w:name="z35"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20 марта 2015 года № 244 "Об утверждении Правил ведения и предоставления информации и (или) сведений из государственного градостроительного кадастра Республики Казахстан" (зарегистрирован в Реестре государственной регистрации нормативных правовых актов за № 11111, опубликован 16 июня 2015 года в информационно-правовой системе "Әділет"):</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предоставления информации и (или) сведений из государственного градостроительного кадастра Республики Казахстан, утвержденных указанным приказом:</w:t>
      </w:r>
    </w:p>
    <w:bookmarkEnd w:id="29"/>
    <w:bookmarkStart w:name="z37" w:id="3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0"/>
    <w:bookmarkStart w:name="z38" w:id="31"/>
    <w:p>
      <w:pPr>
        <w:spacing w:after="0"/>
        <w:ind w:left="0"/>
        <w:jc w:val="both"/>
      </w:pPr>
      <w:r>
        <w:rPr>
          <w:rFonts w:ascii="Times New Roman"/>
          <w:b w:val="false"/>
          <w:i w:val="false"/>
          <w:color w:val="000000"/>
          <w:sz w:val="28"/>
        </w:rPr>
        <w:t>
      "5) экспертные организации, осуществляющие комплексную вневедомственную экспертизу – предоставление проектной документации (без сметной части), прошедшей комплексную вневедомственную экспертизу в базу данных Государственного градостроительного кадастра;";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0" w:id="32"/>
    <w:p>
      <w:pPr>
        <w:spacing w:after="0"/>
        <w:ind w:left="0"/>
        <w:jc w:val="both"/>
      </w:pPr>
      <w:r>
        <w:rPr>
          <w:rFonts w:ascii="Times New Roman"/>
          <w:b w:val="false"/>
          <w:i w:val="false"/>
          <w:color w:val="000000"/>
          <w:sz w:val="28"/>
        </w:rPr>
        <w:t>
      "23. Представление проектной документации (без сметной части) экспертными организациями осуществляется в течение 10 (десяти) рабочих дней с момента получения положительного заключения комплексной вневедомственной экспертизы.".</w:t>
      </w:r>
    </w:p>
    <w:bookmarkEnd w:id="32"/>
    <w:bookmarkStart w:name="z41"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за № 10722, опубликован 15 апреля 2015 года в информационно-правовой системе "Әділет"):</w:t>
      </w:r>
    </w:p>
    <w:bookmarkEnd w:id="33"/>
    <w:bookmarkStart w:name="z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p>
    <w:bookmarkStart w:name="z44" w:id="35"/>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экологической и пожарной безопасности, требований к прочности и надежности конструкций, обеспечивающих устойчивое функционирование объекта, а также соблюдение строительных норм и правил, стандартов иностранных государств, международных и региональных организаций по объектам, находящимся на территории специальных экономических зон, международной специализированной выставки на территории Республики Казахстан;";</w:t>
      </w:r>
    </w:p>
    <w:bookmarkEnd w:id="35"/>
    <w:bookmarkStart w:name="z45"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36"/>
    <w:bookmarkStart w:name="z46"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документации (материалов), представляемой на комплексную вневедомственную экспертизу проектов строительства новых объектов: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48" w:id="38"/>
    <w:p>
      <w:pPr>
        <w:spacing w:after="0"/>
        <w:ind w:left="0"/>
        <w:jc w:val="both"/>
      </w:pPr>
      <w:r>
        <w:rPr>
          <w:rFonts w:ascii="Times New Roman"/>
          <w:b w:val="false"/>
          <w:i w:val="false"/>
          <w:color w:val="000000"/>
          <w:sz w:val="28"/>
        </w:rPr>
        <w:t>
      "2) правоустанавливающий документ на земельный участок;";</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5 исключить;</w:t>
      </w:r>
    </w:p>
    <w:bookmarkStart w:name="z50"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39"/>
    <w:bookmarkStart w:name="z51"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документации (материалов), представляемой на комплексную вневедомственную экспертизу проектов реконструкции (расширения, модернизации, технического перевооружения) существующих объектов: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исключить;</w:t>
      </w:r>
    </w:p>
    <w:bookmarkStart w:name="z5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41"/>
    <w:bookmarkStart w:name="z54"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документации (материалов), представляемой на комплексную вневедомственную экспертизу проектов капитального ремонта существующих объектов: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исключить;</w:t>
      </w:r>
    </w:p>
    <w:bookmarkStart w:name="z56"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w:t>
      </w:r>
    </w:p>
    <w:bookmarkEnd w:id="43"/>
    <w:bookmarkStart w:name="z57" w:id="44"/>
    <w:p>
      <w:pPr>
        <w:spacing w:after="0"/>
        <w:ind w:left="0"/>
        <w:jc w:val="both"/>
      </w:pPr>
      <w:r>
        <w:rPr>
          <w:rFonts w:ascii="Times New Roman"/>
          <w:b w:val="false"/>
          <w:i w:val="false"/>
          <w:color w:val="000000"/>
          <w:sz w:val="28"/>
        </w:rPr>
        <w:t>
      в Комплектности исходно-разрешительных документов, представляемых на комплексную вневедомственную экспертизу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44"/>
    <w:bookmarkStart w:name="z58" w:id="45"/>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45"/>
    <w:bookmarkStart w:name="z59"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9039"/>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w:t>
            </w:r>
          </w:p>
          <w:bookmarkEnd w:id="47"/>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"Правоустанавливающий документ на земельный участок";</w:t>
            </w:r>
          </w:p>
        </w:tc>
      </w:tr>
    </w:tbl>
    <w:bookmarkStart w:name="z61" w:id="48"/>
    <w:p>
      <w:pPr>
        <w:spacing w:after="0"/>
        <w:ind w:left="0"/>
        <w:jc w:val="both"/>
      </w:pPr>
      <w:r>
        <w:rPr>
          <w:rFonts w:ascii="Times New Roman"/>
          <w:b w:val="false"/>
          <w:i w:val="false"/>
          <w:color w:val="000000"/>
          <w:sz w:val="28"/>
        </w:rPr>
        <w:t>
      ".</w:t>
      </w:r>
    </w:p>
    <w:bookmarkEnd w:id="48"/>
    <w:bookmarkStart w:name="z62" w:id="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опубликован 4 февраля 2016 года в информационно-правовой системе "Әділет"):</w:t>
      </w:r>
    </w:p>
    <w:bookmarkEnd w:id="49"/>
    <w:bookmarkStart w:name="z63"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5" w:id="51"/>
    <w:p>
      <w:pPr>
        <w:spacing w:after="0"/>
        <w:ind w:left="0"/>
        <w:jc w:val="both"/>
      </w:pPr>
      <w:r>
        <w:rPr>
          <w:rFonts w:ascii="Times New Roman"/>
          <w:b w:val="false"/>
          <w:i w:val="false"/>
          <w:color w:val="000000"/>
          <w:sz w:val="28"/>
        </w:rPr>
        <w:t>
      "22. Реализация проектов по строительству осуществляется на основании соответствующего права на земельный участок и следующими этапами:</w:t>
      </w:r>
    </w:p>
    <w:bookmarkEnd w:id="51"/>
    <w:bookmarkStart w:name="z66" w:id="52"/>
    <w:p>
      <w:pPr>
        <w:spacing w:after="0"/>
        <w:ind w:left="0"/>
        <w:jc w:val="both"/>
      </w:pPr>
      <w:r>
        <w:rPr>
          <w:rFonts w:ascii="Times New Roman"/>
          <w:b w:val="false"/>
          <w:i w:val="false"/>
          <w:color w:val="000000"/>
          <w:sz w:val="28"/>
        </w:rPr>
        <w:t>
      1) получение исходных материалов для разработки проектов строительства;</w:t>
      </w:r>
    </w:p>
    <w:bookmarkEnd w:id="52"/>
    <w:bookmarkStart w:name="z67" w:id="53"/>
    <w:p>
      <w:pPr>
        <w:spacing w:after="0"/>
        <w:ind w:left="0"/>
        <w:jc w:val="both"/>
      </w:pPr>
      <w:r>
        <w:rPr>
          <w:rFonts w:ascii="Times New Roman"/>
          <w:b w:val="false"/>
          <w:i w:val="false"/>
          <w:color w:val="000000"/>
          <w:sz w:val="28"/>
        </w:rPr>
        <w:t>
      2) согласование эскиза (эскизного проекта);</w:t>
      </w:r>
    </w:p>
    <w:bookmarkEnd w:id="53"/>
    <w:bookmarkStart w:name="z68" w:id="54"/>
    <w:p>
      <w:pPr>
        <w:spacing w:after="0"/>
        <w:ind w:left="0"/>
        <w:jc w:val="both"/>
      </w:pPr>
      <w:r>
        <w:rPr>
          <w:rFonts w:ascii="Times New Roman"/>
          <w:b w:val="false"/>
          <w:i w:val="false"/>
          <w:color w:val="000000"/>
          <w:sz w:val="28"/>
        </w:rPr>
        <w:t>
      3) проектирование и экспертиза проектов строительства;</w:t>
      </w:r>
    </w:p>
    <w:bookmarkEnd w:id="54"/>
    <w:bookmarkStart w:name="z69" w:id="55"/>
    <w:p>
      <w:pPr>
        <w:spacing w:after="0"/>
        <w:ind w:left="0"/>
        <w:jc w:val="both"/>
      </w:pPr>
      <w:r>
        <w:rPr>
          <w:rFonts w:ascii="Times New Roman"/>
          <w:b w:val="false"/>
          <w:i w:val="false"/>
          <w:color w:val="000000"/>
          <w:sz w:val="28"/>
        </w:rPr>
        <w:t>
      4) осуществление строительно-монтажных работ;</w:t>
      </w:r>
    </w:p>
    <w:bookmarkEnd w:id="55"/>
    <w:bookmarkStart w:name="z70" w:id="56"/>
    <w:p>
      <w:pPr>
        <w:spacing w:after="0"/>
        <w:ind w:left="0"/>
        <w:jc w:val="both"/>
      </w:pPr>
      <w:r>
        <w:rPr>
          <w:rFonts w:ascii="Times New Roman"/>
          <w:b w:val="false"/>
          <w:i w:val="false"/>
          <w:color w:val="000000"/>
          <w:sz w:val="28"/>
        </w:rPr>
        <w:t>
      5) приемка и ввод в эксплуатацию построенного объекта.</w:t>
      </w:r>
    </w:p>
    <w:bookmarkEnd w:id="56"/>
    <w:bookmarkStart w:name="z71" w:id="57"/>
    <w:p>
      <w:pPr>
        <w:spacing w:after="0"/>
        <w:ind w:left="0"/>
        <w:jc w:val="both"/>
      </w:pPr>
      <w:r>
        <w:rPr>
          <w:rFonts w:ascii="Times New Roman"/>
          <w:b w:val="false"/>
          <w:i w:val="false"/>
          <w:color w:val="000000"/>
          <w:sz w:val="28"/>
        </w:rPr>
        <w:t>
      При проектировании инженерных сетей и сооружений согласование их эскиза (эскизного проекта) не требуется.";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"24. Исходные материалы для разработки проектов строительства включают:</w:t>
      </w:r>
    </w:p>
    <w:bookmarkEnd w:id="58"/>
    <w:bookmarkStart w:name="z74" w:id="59"/>
    <w:p>
      <w:pPr>
        <w:spacing w:after="0"/>
        <w:ind w:left="0"/>
        <w:jc w:val="both"/>
      </w:pPr>
      <w:r>
        <w:rPr>
          <w:rFonts w:ascii="Times New Roman"/>
          <w:b w:val="false"/>
          <w:i w:val="false"/>
          <w:color w:val="000000"/>
          <w:sz w:val="28"/>
        </w:rPr>
        <w:t>
      1) архитектурно-планировочное задание (далее – АПЗ);</w:t>
      </w:r>
    </w:p>
    <w:bookmarkEnd w:id="59"/>
    <w:bookmarkStart w:name="z75" w:id="60"/>
    <w:p>
      <w:pPr>
        <w:spacing w:after="0"/>
        <w:ind w:left="0"/>
        <w:jc w:val="both"/>
      </w:pPr>
      <w:r>
        <w:rPr>
          <w:rFonts w:ascii="Times New Roman"/>
          <w:b w:val="false"/>
          <w:i w:val="false"/>
          <w:color w:val="000000"/>
          <w:sz w:val="28"/>
        </w:rPr>
        <w:t>
      2) технические условия на подключение к источникам инженерного и коммунального обеспечения (далее – технические условия);</w:t>
      </w:r>
    </w:p>
    <w:bookmarkEnd w:id="60"/>
    <w:bookmarkStart w:name="z76" w:id="61"/>
    <w:p>
      <w:pPr>
        <w:spacing w:after="0"/>
        <w:ind w:left="0"/>
        <w:jc w:val="both"/>
      </w:pPr>
      <w:r>
        <w:rPr>
          <w:rFonts w:ascii="Times New Roman"/>
          <w:b w:val="false"/>
          <w:i w:val="false"/>
          <w:color w:val="000000"/>
          <w:sz w:val="28"/>
        </w:rPr>
        <w:t>
      3) поперечные профили дорог и улиц;</w:t>
      </w:r>
    </w:p>
    <w:bookmarkEnd w:id="61"/>
    <w:bookmarkStart w:name="z77" w:id="62"/>
    <w:p>
      <w:pPr>
        <w:spacing w:after="0"/>
        <w:ind w:left="0"/>
        <w:jc w:val="both"/>
      </w:pPr>
      <w:r>
        <w:rPr>
          <w:rFonts w:ascii="Times New Roman"/>
          <w:b w:val="false"/>
          <w:i w:val="false"/>
          <w:color w:val="000000"/>
          <w:sz w:val="28"/>
        </w:rPr>
        <w:t>
      4) вертикальные планировочные отметки;</w:t>
      </w:r>
    </w:p>
    <w:bookmarkEnd w:id="62"/>
    <w:bookmarkStart w:name="z78" w:id="63"/>
    <w:p>
      <w:pPr>
        <w:spacing w:after="0"/>
        <w:ind w:left="0"/>
        <w:jc w:val="both"/>
      </w:pPr>
      <w:r>
        <w:rPr>
          <w:rFonts w:ascii="Times New Roman"/>
          <w:b w:val="false"/>
          <w:i w:val="false"/>
          <w:color w:val="000000"/>
          <w:sz w:val="28"/>
        </w:rPr>
        <w:t>
      5) выкопировку из проекта детальной планировки;</w:t>
      </w:r>
    </w:p>
    <w:bookmarkEnd w:id="63"/>
    <w:bookmarkStart w:name="z79" w:id="64"/>
    <w:p>
      <w:pPr>
        <w:spacing w:after="0"/>
        <w:ind w:left="0"/>
        <w:jc w:val="both"/>
      </w:pPr>
      <w:r>
        <w:rPr>
          <w:rFonts w:ascii="Times New Roman"/>
          <w:b w:val="false"/>
          <w:i w:val="false"/>
          <w:color w:val="000000"/>
          <w:sz w:val="28"/>
        </w:rPr>
        <w:t>
      6) схему трасс наружных инженерных сетей.</w:t>
      </w:r>
    </w:p>
    <w:bookmarkEnd w:id="64"/>
    <w:bookmarkStart w:name="z80" w:id="65"/>
    <w:p>
      <w:pPr>
        <w:spacing w:after="0"/>
        <w:ind w:left="0"/>
        <w:jc w:val="both"/>
      </w:pPr>
      <w:r>
        <w:rPr>
          <w:rFonts w:ascii="Times New Roman"/>
          <w:b w:val="false"/>
          <w:i w:val="false"/>
          <w:color w:val="000000"/>
          <w:sz w:val="28"/>
        </w:rPr>
        <w:t xml:space="preserve">
      Перечень исходных материалов для разработки проектов реконструкции, перепланировки и переоборудования приведен в </w:t>
      </w:r>
      <w:r>
        <w:rPr>
          <w:rFonts w:ascii="Times New Roman"/>
          <w:b w:val="false"/>
          <w:i w:val="false"/>
          <w:color w:val="000000"/>
          <w:sz w:val="28"/>
        </w:rPr>
        <w:t>параграфе 5</w:t>
      </w:r>
      <w:r>
        <w:rPr>
          <w:rFonts w:ascii="Times New Roman"/>
          <w:b w:val="false"/>
          <w:i w:val="false"/>
          <w:color w:val="000000"/>
          <w:sz w:val="28"/>
        </w:rPr>
        <w:t xml:space="preserve"> раздела 3 настоящих Правил.";</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83" w:id="66"/>
    <w:p>
      <w:pPr>
        <w:spacing w:after="0"/>
        <w:ind w:left="0"/>
        <w:jc w:val="both"/>
      </w:pPr>
      <w:r>
        <w:rPr>
          <w:rFonts w:ascii="Times New Roman"/>
          <w:b w:val="false"/>
          <w:i w:val="false"/>
          <w:color w:val="000000"/>
          <w:sz w:val="28"/>
        </w:rPr>
        <w:t>
      "40. Эскизы (эскизные проекты) в составе и содержании согласно приложению 5 к настоящим Правилам, рассматриваются и согласовываются структурным подразделением МИО, осуществляющим функции в сфере архитектуры и градостроительства.";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85" w:id="67"/>
    <w:p>
      <w:pPr>
        <w:spacing w:after="0"/>
        <w:ind w:left="0"/>
        <w:jc w:val="both"/>
      </w:pPr>
      <w:r>
        <w:rPr>
          <w:rFonts w:ascii="Times New Roman"/>
          <w:b w:val="false"/>
          <w:i w:val="false"/>
          <w:color w:val="000000"/>
          <w:sz w:val="28"/>
        </w:rPr>
        <w:t>
      "48.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не подлежат согласованию с поставщиками услуг по инженерному и коммунальному обеспечению.</w:t>
      </w:r>
    </w:p>
    <w:bookmarkEnd w:id="67"/>
    <w:bookmarkStart w:name="z86" w:id="68"/>
    <w:p>
      <w:pPr>
        <w:spacing w:after="0"/>
        <w:ind w:left="0"/>
        <w:jc w:val="both"/>
      </w:pPr>
      <w:r>
        <w:rPr>
          <w:rFonts w:ascii="Times New Roman"/>
          <w:b w:val="false"/>
          <w:i w:val="false"/>
          <w:color w:val="000000"/>
          <w:sz w:val="28"/>
        </w:rPr>
        <w:t>
      49. Проектная документация (без сметной части) вносятся в базу данных государственного градостроительного кадастра путем представления экспертной организацией в течении 10 (десяти) рабочих дней после выдачи положительного заключения комплексной вневедомственной экспертизы, в структурное подразделение местного исполнительного органа, осуществляющее функции в сфере архитектуры и градостроительства.";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исключить;</w:t>
      </w:r>
    </w:p>
    <w:bookmarkStart w:name="z88" w:id="69"/>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застройки прохождения </w:t>
            </w:r>
            <w:r>
              <w:br/>
            </w:r>
            <w:r>
              <w:rPr>
                <w:rFonts w:ascii="Times New Roman"/>
                <w:b w:val="false"/>
                <w:i w:val="false"/>
                <w:color w:val="000000"/>
                <w:sz w:val="20"/>
              </w:rPr>
              <w:t xml:space="preserve">разрешительных процедур в </w:t>
            </w:r>
            <w:r>
              <w:br/>
            </w:r>
            <w:r>
              <w:rPr>
                <w:rFonts w:ascii="Times New Roman"/>
                <w:b w:val="false"/>
                <w:i w:val="false"/>
                <w:color w:val="000000"/>
                <w:sz w:val="20"/>
              </w:rPr>
              <w:t>сфере строительства</w:t>
            </w:r>
          </w:p>
        </w:tc>
      </w:tr>
    </w:tbl>
    <w:bookmarkStart w:name="z91" w:id="70"/>
    <w:p>
      <w:pPr>
        <w:spacing w:after="0"/>
        <w:ind w:left="0"/>
        <w:jc w:val="left"/>
      </w:pPr>
      <w:r>
        <w:rPr>
          <w:rFonts w:ascii="Times New Roman"/>
          <w:b/>
          <w:i w:val="false"/>
          <w:color w:val="000000"/>
        </w:rPr>
        <w:t xml:space="preserve"> Состав и содержание эскиза (эскизного проекта), разрабатываемого на предпроектной стадии для объектов нового строительства, также для объектов реконструкции (перепланировки, переоборудования), требующих отвода дополнительного земельного участка (прирезки территории)</w:t>
      </w:r>
    </w:p>
    <w:bookmarkEnd w:id="70"/>
    <w:bookmarkStart w:name="z92" w:id="71"/>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также для объектов реконструкции (перепланировки, переоборудования),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71"/>
    <w:bookmarkStart w:name="z93" w:id="72"/>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72"/>
    <w:bookmarkStart w:name="z94" w:id="73"/>
    <w:p>
      <w:pPr>
        <w:spacing w:after="0"/>
        <w:ind w:left="0"/>
        <w:jc w:val="both"/>
      </w:pPr>
      <w:r>
        <w:rPr>
          <w:rFonts w:ascii="Times New Roman"/>
          <w:b w:val="false"/>
          <w:i w:val="false"/>
          <w:color w:val="000000"/>
          <w:sz w:val="28"/>
        </w:rPr>
        <w:t>
      2. Генеральный план объекта в масштабе 1:500; 1:1000 (один из перечисленных);</w:t>
      </w:r>
    </w:p>
    <w:bookmarkEnd w:id="73"/>
    <w:bookmarkStart w:name="z95" w:id="74"/>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74"/>
    <w:bookmarkStart w:name="z96" w:id="75"/>
    <w:p>
      <w:pPr>
        <w:spacing w:after="0"/>
        <w:ind w:left="0"/>
        <w:jc w:val="both"/>
      </w:pPr>
      <w:r>
        <w:rPr>
          <w:rFonts w:ascii="Times New Roman"/>
          <w:b w:val="false"/>
          <w:i w:val="false"/>
          <w:color w:val="000000"/>
          <w:sz w:val="28"/>
        </w:rPr>
        <w:t>
      4. Планы этажей с экспликацией помещений, разрезы в масштабе М 1:100; 1:200; 1:400 (один из перечисленных);</w:t>
      </w:r>
    </w:p>
    <w:bookmarkEnd w:id="75"/>
    <w:bookmarkStart w:name="z97" w:id="76"/>
    <w:p>
      <w:pPr>
        <w:spacing w:after="0"/>
        <w:ind w:left="0"/>
        <w:jc w:val="both"/>
      </w:pPr>
      <w:r>
        <w:rPr>
          <w:rFonts w:ascii="Times New Roman"/>
          <w:b w:val="false"/>
          <w:i w:val="false"/>
          <w:color w:val="000000"/>
          <w:sz w:val="28"/>
        </w:rPr>
        <w:t>
      5. План кровли в масштабе М 1:50; 1:100; 1:200; 1:400 (один из перечисленных);</w:t>
      </w:r>
    </w:p>
    <w:bookmarkEnd w:id="76"/>
    <w:bookmarkStart w:name="z98" w:id="77"/>
    <w:p>
      <w:pPr>
        <w:spacing w:after="0"/>
        <w:ind w:left="0"/>
        <w:jc w:val="both"/>
      </w:pPr>
      <w:r>
        <w:rPr>
          <w:rFonts w:ascii="Times New Roman"/>
          <w:b w:val="false"/>
          <w:i w:val="false"/>
          <w:color w:val="000000"/>
          <w:sz w:val="28"/>
        </w:rPr>
        <w:t>
      6. Планы инженерных сетей;</w:t>
      </w:r>
    </w:p>
    <w:bookmarkEnd w:id="77"/>
    <w:bookmarkStart w:name="z99" w:id="78"/>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