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372b" w14:textId="78b3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7 марта 2018 года № 364. Зарегистрирован в Министерстве юстиции Республики Казахстан 3 апреля 2018 года № 16717. Утратил силу приказом и.о. Министра юстиции Республики Казахстан от 29 мая 2020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за № 11785, опубликованный 3 сентября 2015 года в информационно-правовой системе "Әділет")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"Государственная регистрация прав (обременений) на недвижимое имущество"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"Регистрация залога движимого имущества, не подлежащего обязательной государственной регистрации"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справки о зарегистрированных правах (обременениях) на недвижимое имущество и его технических характеристиках"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"Выдача копий документов регистрационного дела, заверенных регистрирующим органом, включая план (схемы) объектов недвижимости"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справки об отсутствии (наличии) недвижимого имущества"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"Выдача выписки из реестра регистрации залога движимого имущества"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"Выдача справок о зарегистрированных и прекращенных правах на недвижимое имущество"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"Выдача дубликата правоустанавливающего документа на недвижимое имущество"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государственной услуги "Внесение в правовой кадастр идентификационных и технических сведений зданий, сооружений и (или) их составляющих на вновь созданное недвижимое имущество, выдача технического паспорта объектов недвижимости и заключения об установлении расхождений идентификационных и технических сведений по итогам проведенного государственного технического обследования вновь созданного объекта недвижимости"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государственной услуги "Выдача дубликата технического паспорта объектов недвижимости"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государственной услуги "Выдача приложения к техническому паспорту, содержащему сведения о собственнике (правообладателе) недвижимого имущества"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регламент государственной услуги "Государственная регистрация объекта кондоминиума" согласно приложению 12 к настоящему приказу.";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течение десяти календарных дней со дня государственной регистрации настоящего приказа в Министерстве юстиции Республики Казахстан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 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2018 года № 364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300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объекта кондоминиума"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на основании стандарта государственной услуги "Государственная регистрация объекта кондоминиума",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 (зарегистрирован в Реестре государственной регистрации нормативных правовых актов за № 11408) (далее – Стандарт).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юстиции (далее – услугодатель).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"Правительство для граждан" (далее – Государственная корпорация), по местонахождению объекта недвижимого имущества услугополучателя.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Результатом оказания государственной услуги является правоустанавливающий документ с отметкой о произведенной государственной регистрации объекта кондоминиума или приостановлении регистрации или письменный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мотивированного ответа об отказе в оказании государственной услуги, документ об оплате сбора за регистрацию может быть предъявлен услугополучателем при повторной подаче документов на регистрацию.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услугодателя по оказанию государственной услуги является обращение услугополучателя в Государственную корпорацию с пакетом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процедуры (действия), входящей в состав процесса оказания государственной услуги: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согласно своим функциональным обязанностям осуществляет прием документов по книге учета документов с Государственной корпорации, затем передает пакет принятых документов в архив ответственному исполнителю услугодателя в течение 3 (трех) часов, по государственной регистрации объекта кондоминиума в ускоренном порядке в течение 30 (тридцати) минут.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сотрудник отдела архива услугодателя осуществляет поиск и передачу регистрационных дел в отдел регистрации прав на недвижимое имущество в течении одного (1) рабочего дня, по государственной регистрации объекта кондоминиума в ускоренном порядке в течение 2 (двух) часов.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 отдела регистрации прав на недвижимое имущество услугодателя – рассматривает пакет документов, по результатам рассмотрения регистрирует объект кондоминимума или приостанавливает регистрацию либо готовит мотивированный ответ об отказе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затем представляет результат государственной услуги на подпись руководителю услугодателя в течение одного (1) рабочего дня, по государственной регистрации объекта кондоминиума в ускоренном порядке в течение 3 (трех) часов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или его заместитель подписывает результат государственной услуги в течении 2 (двух) часов, по государственной регистрации объекта кондоминиума в ускоренном порядке в течение 30 (тридцати) минут.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(действия): направление подписанного результата оказания государственной услуги сотруднику услугодателя.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услугодателя регистрирует результат оказания государственной услуги в течение 30 (тридцати) минут.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результата оказания государственной услуги в Государственную корпорацию по книге учета документов.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государственной регистрации объекта кондоминиума в ускоренном порядке – государственная услуга оказывается на следующий рабочий день с момента поступления заявления в Государственную корпорацию (если в Государственной корпорации заявление принято после 18 часов или в субботу, то исчисление срока для услугодателя начинается на следующий рабочий день).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 xml:space="preserve"> подразделений (работников) в процессе оказания государственной услуги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Государственной корпорации;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Государственной корпорации;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отдела архива услугодателя;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отдела регистрации прав на недвижимое имущество услугодателя.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или его заместитель.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 с указанием длительности каждой процедуры (действия) указаны в описании действий участвующих в оказании государственной услуги сторон согласно приложению 1 к настоящему регламенту, схеме функционального взаимодействия согласно приложения 2 к настоящему регламенту и справочнику бизнес-процессов при оказании государственной услуги согласно приложению 3 и 4 к настоящему регламенту.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Государственной корпорации прием документов осуществляется в операционном зале посредством "безбарьерного обслуживания", на которых указываются фамилия, имя, отчество (при его наличии) и должность работника Государственной корпорации.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процедуры (действия), входящей в состав процесса оказания государственной услуги, длительность выполнения: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пакет документов.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прием пакета документов;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документы, выдает услугополучателю либо его представителю расписку о приеме соответствующих документов в течение 20 (двадцати) минут;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либо его представителем неполного пакета документов согласно перечню,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выдача услугополучателю либо его представителю расписки о приеме либо об отказе в приеме документов.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накопительного отдела Государственной корпорации направляет документы услугодателю в течение 1 (одного) рабочего дня, день приема документов не входит в срок оказания государственной услуги).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направление документов услугодателю;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Государственной корпорации выдача готовых документов услугополучателю осуществляется работником Государственной корпорации посредством "окон" с понедельника по субботу включительно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 основании расписки в указанный в ней срок.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кондоминиума"</w:t>
            </w:r>
            <w:r>
              <w:br/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участвующих в оказании государственной услуги сторон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1356"/>
        <w:gridCol w:w="2170"/>
        <w:gridCol w:w="1297"/>
        <w:gridCol w:w="1576"/>
        <w:gridCol w:w="1505"/>
        <w:gridCol w:w="1357"/>
        <w:gridCol w:w="1577"/>
        <w:gridCol w:w="1064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участвующей стороны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Госкорпорации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Госкорпорации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отдела архива услугодателя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отдела регистрации услугодателя (регистратор)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 или его заместитель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выдачи Госкорпорации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 и их описание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документов, внесение записи о приеме в книгу учета документов и выдача расписки получателю услуги.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отправка их в орган юстиции к регистратору;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исполненных документов от услугодателя.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по книге учета документов с Горкорпарации.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регистрационных дел;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регистрацию из ГБД РН.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документов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исполненных документов для выдачи заявителю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 распорядительное решение)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накопительный отдел Госкорпорации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исполненных документов инспектору отдела выдачи Госкорпорации.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исполненных документов в Госкорпорацию по книге учета документов;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регистрационных дел для исполнения в отдел регистрации прав на недвижимое имущество.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мероприятий по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на подпись руководителю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гос. услуги сотруднику услугодателя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документов по расписке и книге учета документов заявителю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день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ускоренном порядке в течение 30 минут)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ускоренном порядке в течение 2 часов)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рабочего дня после принятия документов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ускоренном порядке в течение 3 часов)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ускоренном порядке в течение 30 минут)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использования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процесс,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процесс,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2719"/>
        <w:gridCol w:w="2503"/>
        <w:gridCol w:w="1856"/>
        <w:gridCol w:w="2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  <w:bookmarkEnd w:id="70"/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Госкорпорация</w:t>
            </w:r>
          </w:p>
          <w:bookmarkEnd w:id="71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(архив)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 регистрации)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 или его заместитель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Проверка документов</w:t>
            </w:r>
          </w:p>
          <w:bookmarkEnd w:id="72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Прием документов по книге учета документов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Поиск и передача регистрационного дела для исполнения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Рассмотрение заявления и регистрация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Подписание документов и передача сотруднику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Внесение записи о приеме в книгу учета документов</w:t>
            </w:r>
          </w:p>
          <w:bookmarkEnd w:id="73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8.Передача в Госкорпорацию исполненных документов по книге учета документов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расписки</w:t>
            </w:r>
          </w:p>
          <w:bookmarkEnd w:id="74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Выдача исполненных документов по расписке и книге учета документов заявителю</w:t>
            </w:r>
          </w:p>
          <w:bookmarkEnd w:id="75"/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кондоминиума"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Схема функционального взаимодействия</w:t>
      </w:r>
    </w:p>
    <w:bookmarkEnd w:id="76"/>
    <w:bookmarkStart w:name="z86" w:id="77"/>
    <w:p>
      <w:pPr>
        <w:spacing w:after="0"/>
        <w:ind w:left="0"/>
        <w:jc w:val="left"/>
      </w:pP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кондоминиума"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Справочник взаимодействия бизнес-процессов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услуги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государственной услуги посредством приема и отправки документов Государственной корпорацией: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2517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объекта кондоминиума"</w:t>
            </w:r>
          </w:p>
        </w:tc>
      </w:tr>
    </w:tbl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Справочник бизнес-процессов оказания государственной услуги</w:t>
      </w:r>
    </w:p>
    <w:bookmarkEnd w:id="81"/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"Государственная регистрация объекта кондоминиума"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оказании услуги через Государственную корпорацию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подразделений (работников) услугодателя, центра обслуживания населения, веб-портала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"электронного правительства";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