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f551" w14:textId="675f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28 июля 2015 года № 4-1/699 "Об утверждении Правил формирования и ведения государственного электронного реестра держателей зерновых расписок"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марта 2018 года № 130. Зарегистрирован в Министерстве юстиции Республики Казахстан 27 апреля 2018 года № 16835.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июля 2015 года № 4-1/699 "Об утверждении Правил формирования и ведения государственного электронного реестра держателей зерновых расписок" (зарегистрирован в Реестре государственной регистрации нормативных правовых актов № 12016, опубликован 15 сентября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электронного реестра держателей зерновых расписок,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понятия, определения и сокращения: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информационной системы (далее – веб-портал) – интернет-ресурс, размещенный в сети Интернет по адресу: www.qoldau.kz, предоставляющий единую точку доступа к данным реестра;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зерна – физическое или юридическое лицо, передавшее на хранение хлебоприемному предприятию зерно;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электронный реестр держателей зерновых расписок (далее – реестр) – совокупность сведений о зерновых расписках и их держателях, обеспечивающих идентификацию держателей зерновых расписок на определенный момент времени, регистрацию сделок с зерновыми расписками, а также характер зарегистрированных ограничений на обращение или осуществление прав по ним, и иные сведения, отраженные в информационной системе;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зерновых расписок (далее – информационная система) – автоматизированная система ведения реестра, предназначенная для хранения, обработки, поиска, распространения, передачи и предоставления информации по зерновым распискам и их держателям;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зерновая расписка – складское свидетельство в виде бездокументарной неэмиссионной ценной бумаги, подтверждающее право собственности на определенное количество зерна;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регистратор зерновых расписок (далее – регистратор) – юридическое лицо с участием государства в уставном капитале, обладающее опытом работы на рынке ценных бумаг, определяемое Правительством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держатель зерновой расписки – лицо, зарегистрированное в реестре, обладающее правами по зерновой расписке;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– электронный документ, формируемый хлебоприемным предприятием или держателем зерновой расписки в реестре, с указанием осуществления определенного действия в отношении принадлежащего держателю зерновой расписки зерна, подписываемый электронной цифровой подписью, выданной национальным удостоверяющим центром;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лицевой счет – совокупность записей, содержащихся в реестре, позволяющих идентифицировать зарегистрированное лицо с целью регистрации сделок и учета прав по зерновой расписке;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выписка с лицевого счета – электронный документ, не являющийся ценной бумагой, формируемый регистратором в информационной системе и подтверждающий права зарегистрированного лица по зерновой расписке на определенный момент времени;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залогодержатель – лицо, являющееся залогодержателем зерна в обязательстве, предусмотренном договором о залоге зерна по зерновой расписке (далее – договор залога);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клиент – лицо, пользующееся или намеренное воспользоваться услугами регистратора;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распределенная база данных Q-Chain (далее – q-chain) – непрерывная последовательная цепочка блоков данных, содержащая информацию об операциях с зерновыми расписками, созданная на основе технологии blockchain по внутренним правилам регистратора;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транзакция – совокупность логически объединенных последовательных записей об операциях с зерновыми расписками в сети q-chain, формируемых в блок, который содержит информацию о предыдущей и последующей записи (при их наличии);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 ведется регистратором на основе данных правового и земельного кадастров, сведений центральных исполнительных органов в сфере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Государственной корпорации "Правительство для граждан", путем организации доступа к ведомственным информационным системам для интеграции с информационной системой, в частности: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органом, осуществляющим руководство и межотраслевую координацию в сфере разрешений и уведомлений – в отношении юридических лиц, имеющих лицензию на осуществление деятельности по оказанию услуг по складской деятельности с выпуском зерновых расписок (далее – лицензия);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органом, осуществляющим регулирование деятельности в сфере бухгалтерского учета и финансовой отчетности – в отношении информации, предоставляемой хлебоприемными предприятиями в депозитарий финансовой отчетности;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органом, осуществляющим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хлебоприемными предприятиями;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 органом, осуществляющим регулирование в области земельных отношений – в отношении земельных участков, зарегистрированных за хлебоприемными предприятиями;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органом, осуществляющим государственную регистрацию юридических лиц и учетную регистрацию филиалов и представительств – в отношении юридических лиц, филиалов и представительств, зарегистрированных в реестре;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государственным органом по управлению государственным имуществом – в отношении лицензиаров хлебоприемных предприятий и их пространственных (географических) данных;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государственным органом, осуществляющим налоговое администрирование – в отношении данных по электронным счетам-фактурам, выставленным хлебоприемными предприятиями и держателями зерновых расписок;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Национальной железнодорожной компанией – в отношении сведений о транспортировке зерна на внутреннем рынке и на экспорт;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государственным органом, осуществляющим формирование идентификационных номеров и ведение национальных реестров идентификационных номеров – в отношении физических лиц, зарегистрированных в реестре.";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 операциям с зерновыми расписками относятся: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 зерновой расписки;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погашение зерновой расписки;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деление зерновой расписки;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консолидация зерновых расписок;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продажа/покупка зерновой расписки;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зачисление/списание зерновой расписки;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передача/прием в залог зерновой расписки;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сведений по залогу зерновой расписки;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возврат/прием из залога зерновой расписки;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публикация извещения о проведении торгов по зерновой расписке;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изменение данных зерновой расписки;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изменение характеристик зерна в зерновой расписке;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блокировка/разблокировка зерновой расписки.";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Операции с зерновыми расписками передаются в сеть q-chain, которая размещается на вычислительных мощностях в соответствии с внутренними правилами регистратора и доступ к которой обеспечивается с использованием веб-портала www.q-chain.kz.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сети q-chain хранение данных осуществляется децентрализовано с применением технологии асинхронной распределенной базы данных, согласно внутренним правилам регистратора.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Пользователям веб-портала www.q-chain.kz доступна функция по проверке статуса приказа и/или зерновой расписки (без указания персональных данных держателей зерновых расписок) согласно электронному запросу с указанием: номера транзакции, или номера приказа, или номера зерновой расписки. Электронный запрос подписывается ЭЦП пользователя.";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Зерновая расписка выпускается на каждую партию однородного по качеству зерна. Количество выпускаемых зерновых расписок на весь объем сданного зерна определяется в приказе на выпуск зерновой расписки.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зерновой расписки производится в Личном кабинете в следующем порядке: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 "О праздниках в Республике Казахстан" (далее – Закон о праздниках), со дня приема зерна от владельца зерна хлебоприемное предприятие регистрирует приказ на выпуск зерновой расписки, с внесением в приказ сведений, указанных в подпунктах 2) - 6)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даты приема зерна от владельца. После сохранения приказа его статус в информационной системе изменяется на "Не согласован";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сохраненный приказ со статусом "Не согласован" направляется хлебоприемным предприятием на согласование владельцу зерна, и статус приказа в информационной системе изменяется на "На согласовании";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со статусом "На согласовании" становится доступным в Личном кабинете владельца зерна: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для согласования приказа (статус приказа в информационной системе изменяется на "Согласован");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для внесения замечаний по сведениям, внесенным хлебоприемным предприятием в приказ (статус приказа в информационной системе изменяется на "Отправлен на доработку");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приказу со статусом "Отправлен на доработку" хлебоприемное предприятие: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изменяет данные приказа по замечаниям владельца зерна (статус приказа в информационной системе изменяется на "На согласовании");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не изменяет данные приказа по замечаниям владельца зерна, с указанием своих доводов (статус приказа в информационной системе изменяется на "На согласовании");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отменяет приказ, обеспечивая возврат зерна владельцу не позднее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со дня приема зерна от владельца (статус приказа в информационной системе изменяется на "Отменен");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приказу со статусом "Согласован" хлебоприемное предприятие подтверждает согласие с внесенными в приказ сведениями, и статус приказа в информационной системе изменяется на "На подписании";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приказу со статусом "На подписании" осуществляется подписание приказа с использованием ЭЦП клиентов;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приказа ЭЦП владельца зерна и хлебоприемного предприятия (первым руководителем и главным бухгалтером) статус приказа в информационной системе изменяется на "Подписан", а в реестре зерновая расписка: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выпускается с указанием сведений, указанных в подпунктах 1) и 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отображается на лицевом счете держателя зерновой расписки со статусом "Активная".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клиентами операции с зерновой распиской права и обязанности по договору на хранение зерна, заключенному между хлебоприемным предприятием и владельцем зерна, и в соответствии с которым была выпущена данная зерновая расписка, передаются клиенту одновременно с передачей прав по зерновой расписке на зерно в объеме, указанном в зерновой расписке.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подработки зерна хлебоприемным предприятием либо усреднения качественных показателей зерна (средневзвешенное качество зерна) по соглашению владельца зерна и хлебоприемного предприятия допускается выпуск новой зерновой расписки с погашением предыдущих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Хлебоприемное предприятие обеспечивает возврат зерна владельцу не позднее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со дня приема зерна от владельца: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отменит приказ до его подписания с использованием ЭЦП одним из клиентов (статус приказа в информационной системе изменяется на "Отменен");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со дня приема зерна приказ не подписан с использованием ЭЦП владельца зерна и хлебоприемного предприятия (первым руководителем и главным бухгалтером), то статус приказа в информационной системе изменяется на "Отменен".";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Зерновая расписка содержит также другие обозначения: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регистратора, его место нахождения и номер телефона;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статус зерновой расписки ("Погашена", "Разделена", "Консолидирована", "Продана", "Списана", "На торгах", "На электронных торгах", "Торги состоялись", "Активная", "В залоге");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по договору залога (по зерновой расписке со статусом "В залоге");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транзакции в сети q-chain;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блокировке зерновой расписки ("Заблокирована", "Свободна") и основании для ее блокировки.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Держатель зерновой расписки или залогодержатель (реализовавший заложенное зерно на торгах, за исключением электронных торгов,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 для востребования зерна прибывает сам или направляет уполномоченного представителя на место нахождения хлебоприемного предприятия.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зерновой расписки производится в Личном кабинете в следующем порядке: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держатель зерновой расписки или залогодержатель регистрируют приказ на погашение зерновой расписки. После сохранения приказа и его подписания ЭЦП держателя зерновой расписки или залогодержателя, статус приказа в информационной системе изменяется на "На согласовании" и становится доступным в Личном кабинете хлебоприемного предприятия.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Держателем зерновой расписки или залогодержателем допускается отмена приказа до выдачи ему зерна по зерновой расписке (статус приказа в информационной системе изменяется на "Отменен");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выдачи зерна по зерновой расписке и внесения хлебоприемным предприятием в приказ сведений о дате выдачи зерна, приказ подписывается ЭЦП хлебоприемного предприятия (первым руководителем и главным бухгалтером). При этом статус приказа в информационной системе изменяется на "Подписан", а в реестре зерновая расписка отображается на лицевом счете держателя зерновой расписки со статусом "Погашена".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клиентов, то статус приказа в информационной системе изменяется на "Отменен".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течение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приказа держателем зерновой расписки или залогодержателем, хлебоприемное предприятие обеспечивает выдачу зерна по зерновой расписке согласно условиям договора хранения зерна, за исключением случаев: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статьей 31 Закона;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зерновой расписки в соответствии с абзацем восемнадцатым пункта 14 настоящих Правил;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задолженности за хранение зерна по данной зерновой расписке.";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Деление зерновой расписки со статусом "В залоге" осуществляется при погашении держателем зерновой расписки части долга перед залогодержателем и производится в Личном кабинете в следующем порядке: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залогодержатель регистрирует приказ на деление зерновой расписки, в котором указываются количественные характеристики зерна, суммарный объем которых должен быть равным объему зерна по зерновой расписке, деление которой инициируется залогодержателем. После сохранения приказа и его подписания ЭЦП залогодержателя, статус приказа в информационной системе изменяется на "На подписании" и становится доступным в Личном кабинете держателя зерновой расписки.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Залогодержателем допускается отмена приказа до подписания его держателем зерновой расписки (статус приказа в информационной системе изменяется на "Отменен");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приказу со статусом "На подписании" держатель зерновой расписки: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подписывает приказ с использованием ЭЦП (статус приказа в информационной системе изменяется на "Подписан");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отменяет приказ (статус приказа в информационной системе изменяется на "Отменен");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подписания приказа ЭЦП клиентов, в реестре: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выпускаются новые зерновые расписки и отображаются на лицевых счетах залогодержателя и держателя зерновой расписки со статусом "В залоге";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зерновая расписка, деление которой произведено, аннулируется, и отображается на лицевых счетах залогодержателя и держателя зерновой расписки со статусом "Разделена".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клиентов, то статус приказа в информационной системе изменяется на "Отменен".";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приказу со статусом "На подписании" осуществляется подписание приказа с использованием ЭЦП клиента – покупателя (с внесением в приказ сведений о проведенном платеже за зерновую расписку при использовании ее держателем опции "Поставка против платежа").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статус приказа в информационной системе изменяется на "Подписан", а в реестре зерновая расписка отображается на лицевом счете: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держателя зерновой расписки со статусом "Продана" (при использовании опции "Поставка против платежа" цена продажи перечисляется регистратором в течение двух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подписания приказа клиентом-покупателем, на расчетный счет держателя зерновой расписки, указанный в Личном кабинете);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клиента – покупателя со статусом "Активная".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клиентов, то статус приказа в информационной системе изменяется на "Отменен".";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приказу со статусом "На подписании" осуществляется подписание приказа с использованием ЭЦП регистратора. При этом статус приказа в информационной системе изменяется на "Подписан", а в реестре зерновая расписка отображается на лицевом счете: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держателя зерновой расписки со статусом "Списана";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клиента – получателя со статусом "Активная".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регистратора, то статус приказа в информационной системе изменяется на "Отменен".";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приказу со статусом "На подписании" осуществляется подписание приказа с использованием ЭЦП залогодержателя. При этом статус приказа в информационной системе изменяется на "Подписан", а в реестре зерновая расписка отображается на лицевых счетах держателя зерновой расписки и залогодержателя со статусом "В залоге".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клиентов, то статус приказа в информационной системе изменяется на "Отменен".";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Изменение сведений по залогу зерновой расписки производится в Личном кабинете в следующем порядке: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залогодержатель регистрирует приказ на изменение сведений по залогу зерновой расписки, с указанием в приказе сведений, установленных подпунктом 1) пункта 24 настоящих Правил, и прикреплением к приказу договора залога с изменениями и дополнениями в электронном формате "Acrobat Reader". После сохранения приказа и его подписания ЭЦП залогодержателя, статус в информационной системе изменяется на "На подписании" и становится доступным в Личном кабинете держателя зерновой расписки.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Залогодержателем допускается отмена приказа до подписания его держателем зерновой расписки (статус приказа в информационной системе изменяется на "Отменен");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приказу со статусом "На подписании" держатель зерновой расписки: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подписывает приказ с использованием ЭЦП. При этом статус приказа в информационной системе изменяется на "Подписан", а в реестре зерновая расписка отображается на лицевых счетах держателя зерновой расписки и залогодержателя со статусом "В залоге";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отменяет приказ (статус приказа в информационной системе изменяется на "Отменен").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клиентов, то статус приказа в информационной системе изменяется на "Отменен".";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приказу со статусом "На подписании" осуществляется подписание приказа с использованием ЭЦП держателя зерновой расписки. При этом статус приказа в информационной системе изменяется на "Подписан", а в реестре зерновая расписка: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отображается на лицевом счете держателя зерновой расписки со статусом "Активная";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отображается на лицевом счете залогодержателя.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клиентов, то статус приказа в информационной системе изменяется на "Отменен".";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приказу со статусом "На подписании" осуществляется подписание приказа с использованием ЭЦП регистратора. При этом статус приказа в информационной системе изменяется на "Подписан", с направлением на электронный адрес держателя зерновой расписки, указанный в Личном кабинете, электронного уведомления о публикации на веб-портале извещения о проведении торгов по зерновой расписке. В реестре зерновая расписка отображается на лицевом счете ее держателя со статусом "На торгах" или "На электронных торгах" (на период до даты проведения торгов).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регистратора, то статус приказа в информационной системе изменяется на "Отменен";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регистратор обеспечивает продажу зерновой расписки покупателю, если в результате проведения электронных торгов определился победитель, путем: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 с победителем протокола о результатах торгов в день их проведения;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на расчетный счет продавца зерновой расписки, указанный в Личном кабинете, гарантийного взноса победителя в размере пятнадцать процентов от начальной цены зерновой расписки в течение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проведения торгов;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на расчетный счет продавца зерновой расписки, указанный в Личном кабинете, цены продажи (за вычетом гарантийного взноса) в течение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подписания победителем приказа на зачисление/списание зерновой расписки,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(но не позднее десяти календарных дней с даты проведения торгов);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подписания с использованием ЭЦП регистратора приказа на зачисление/списание зерновой расписки,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(но не позднее тринадцати календарных дней с даты проведения торгов).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реестре зерновая расписка отображается на лицевом счете: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держателя зерновой расписки со статусом "Торги состоялись" (с даты проведения торгов и до подписания победителем и регистратором приказа на зачисление/списание зерновой расписки);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держателя зерновой расписки со статусом "Продана" (после подписания победителем и регистратором приказа на зачисление/списание зерновой расписки);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покупателя (победителя электронных торгов) со статусом "Активная";";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приказу со статусом "На подписании" осуществляется подписание приказа с использованием ЭЦП держателя зерновой расписки. При этом статус приказа в информационной системе изменяется на "Подписан", а в реестре у зерновой расписки изменяется дата, до которой произведена оплата за услуги по хранению зерна.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истечении трех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 даты сохранения приказ не подписан с использованием ЭЦП клиентов, то статус приказа в информационной системе изменяется на "Отменен".";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 статусом "В залоге" (для публикации извещения о проведении торгов по зерновой расписке, деления зерновой расписки, возврата/приема из залога зерновой расписки, изменения сведений по залогу зерновой расписки и изменения данных зерновой расписки);";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Пользователям внешнего веб-портала не требуется регистрация в информационной системе с использованием ЭЦП. При этом на веб-портале им доступны следующие функции: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 правовой и справочной информацией по реестру;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сведений по лицензиарам, хлебоприемным предприятиям, а также по выданным им лицензиям;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годовой финансовой отчетности и аудиторских отчетов хлебоприемных предприятий;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сведений по имеющимся на праве собственности у хлебоприемных предприятий зернохранилищам (элеватор, хлебоприемный пункт), на которых осуществляется хранение зерна, в том числе о технической емкости зернохранилищ и их загруженности зерном;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сведений о наличии зарегистрированных обременений (залог, доверительное управление и другое) и ограничений (арест и другое) на объекты недвижимости (земельный участок) зернохранилища;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просмотр опубликованных регистратором на веб-портале извещений: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отчуждении хлебоприемным предприятием имущественного комплекса зернохранилища;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торгов залогодержателем или держателем зерновой расписки;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поданных местным исполнительным органом заявлениях в суд о введении временного управления хлебоприемным предприятием и о вступлении в законную силу решения суда о введении временного управления хлебоприемным предприятием;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просмотр прейскурантов цен (тарифов) хлебоприемных предприятий на оказываемые ими услуги по хранению зерна;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просмотр данных мониторинга, предоставляемых в реестр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зернового рынка, утвержденным приказом Министра сельского хозяйства Республики Казахстан от 8 мая 2012 года  № 18-03/241 (зарегистрирован в Реестре государственной регистрации нормативных правовых актов № 7713).".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апреля 2018 года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апреля 2018 года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апреля 2018 года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2018 года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