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816c" w14:textId="51c8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программы развития переработки сырого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мая 2018 года № 165. Зарегистрирован в Министерстве юстиции Республики Казахстан 29 мая 2018 года № 16956.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переработки сырого газа.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изменениями, внесенными приказом Министра энергетики РК от 25.06.2024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переработки сырого газа*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Общая часть: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общие сведения о месторождении: краткие сведения о месторождении,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географическое месторасположение, имеющаяся инфраструктура;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основание для разработки: утвержденный недропользователем и получивший положительное заключение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иными законами Республики Казахстан экспертиз базовый проектный документ или анализ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запасы нефти и газа (оценочные и разведанные);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физико-химические свойства нефти и газа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текущее состояние разработки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технологические проектные показатели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газовый фактор (проектный, фактический и динамика изменения газового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фактора за последние 5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прогноз добычи нефти и газа в рамках утвержденных проектных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существующая система сбора и подготовки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динамика изменения переработки/утилизации сырого газа (за последние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Обоснование объема сжигания сырого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испытании объектов скважин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период пробной эксплуатации месторождения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при технологически неизбежном сжигании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при проведении пусконаладочных работ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эксплуатации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при техническом обслуживании и ремонтных работах технологического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при технологических сбоях, отказах и отклонениях в работе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Технология переработки/утилизации и перечень объектов использования/утилизации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сырого газа на месторождении.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Баланс газа на месторождении.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Планы по дальнейшему развитию переработки сырого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А - Копии разрешительных документов и отчет об исполнении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переработки сырого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Б – Спецификация, паспорта и план-графики технического обслуживания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ремонтных работ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В - Расчет объемов сжигания сырого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переработки сырого газа подлежит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должна обновляться каждые три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"О недрах и недропользовании".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