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49b7" w14:textId="d954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деятельности организатора торгов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2018 года № 165. Зарегистрировано в Министерстве юстиции Республики Казахстан 20 августа 2018 года № 17337.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6</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организации торговли с ценными бумагами и иными финансовыми инструментами" (зарегистрировано в Реестре государственной регистрации нормативных правовых актов под № 5406, опубликовано 14 января 2009 года в газете "Юридическая газета" № 5 (1602)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организации торговли с ценными бумагами и иными финансовыми инструментами,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"5) официальный список фондовой биржи (официальный список)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и внутренних документов фондовой биржи;";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"10) инициатор допуска – лицо, по инициативе которого финансовые инструменты допускаются к обращению в торговой системе фондовой биржи, интегрированной информационной системе биржевого рынка ценных бумаг или интегрированной информационной системе внебиржевого рынка ценных бумаг;";</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xml:space="preserve">
      "16)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w:t>
      </w:r>
    </w:p>
    <w:bookmarkEnd w:id="8"/>
    <w:bookmarkStart w:name="z17" w:id="9"/>
    <w:p>
      <w:pPr>
        <w:spacing w:after="0"/>
        <w:ind w:left="0"/>
        <w:jc w:val="both"/>
      </w:pPr>
      <w:r>
        <w:rPr>
          <w:rFonts w:ascii="Times New Roman"/>
          <w:b w:val="false"/>
          <w:i w:val="false"/>
          <w:color w:val="000000"/>
          <w:sz w:val="28"/>
        </w:rPr>
        <w:t>
      дополнить пунктами 1-1 и 1-2 следующего содержания:</w:t>
      </w:r>
    </w:p>
    <w:bookmarkEnd w:id="9"/>
    <w:bookmarkStart w:name="z18" w:id="10"/>
    <w:p>
      <w:pPr>
        <w:spacing w:after="0"/>
        <w:ind w:left="0"/>
        <w:jc w:val="both"/>
      </w:pPr>
      <w:r>
        <w:rPr>
          <w:rFonts w:ascii="Times New Roman"/>
          <w:b w:val="false"/>
          <w:i w:val="false"/>
          <w:color w:val="000000"/>
          <w:sz w:val="28"/>
        </w:rPr>
        <w:t>
      "1-1. Условия и порядок осуществления деятельности центрального депозитария по организации торговли с ценными бумагами и иными финансовыми инструментами посредством интегрированной информационной системы внебиржевого рынка ценных бумаг устанавливаются сводом правил центрального депозитария.</w:t>
      </w:r>
    </w:p>
    <w:bookmarkEnd w:id="10"/>
    <w:bookmarkStart w:name="z19" w:id="11"/>
    <w:p>
      <w:pPr>
        <w:spacing w:after="0"/>
        <w:ind w:left="0"/>
        <w:jc w:val="both"/>
      </w:pPr>
      <w:r>
        <w:rPr>
          <w:rFonts w:ascii="Times New Roman"/>
          <w:b w:val="false"/>
          <w:i w:val="false"/>
          <w:color w:val="000000"/>
          <w:sz w:val="28"/>
        </w:rPr>
        <w:t>
      1-2. Условия и порядок осуществления деятельности фондовой биржи по организации торговли с ценными бумагами и иными финансовыми инструментами посредством интегрированной информационной системы биржевого рынка ценных бумаг устанавливаются внутренними документами фондовой биржи.";</w:t>
      </w:r>
    </w:p>
    <w:bookmarkEnd w:id="11"/>
    <w:bookmarkStart w:name="z20"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"Глава 2. Члены (клиенты) организатора торгов";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xml:space="preserve">
      "2.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 </w:t>
      </w:r>
    </w:p>
    <w:bookmarkEnd w:id="14"/>
    <w:bookmarkStart w:name="z24" w:id="15"/>
    <w:p>
      <w:pPr>
        <w:spacing w:after="0"/>
        <w:ind w:left="0"/>
        <w:jc w:val="both"/>
      </w:pPr>
      <w:r>
        <w:rPr>
          <w:rFonts w:ascii="Times New Roman"/>
          <w:b w:val="false"/>
          <w:i w:val="false"/>
          <w:color w:val="000000"/>
          <w:sz w:val="28"/>
        </w:rPr>
        <w:t xml:space="preserve">
      Членами фондовой биржи являются иностранные юридические лица, соответствующие требованиям, установленным для них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360 "О требованиях к иностранным юридическим лицам для членства на фондовой бирже", зарегистрированным в Реестре государственной регистрации нормативных правовых актов под № 3916, и правилами фондовой биржи.</w:t>
      </w:r>
    </w:p>
    <w:bookmarkEnd w:id="15"/>
    <w:bookmarkStart w:name="z25" w:id="16"/>
    <w:p>
      <w:pPr>
        <w:spacing w:after="0"/>
        <w:ind w:left="0"/>
        <w:jc w:val="both"/>
      </w:pPr>
      <w:r>
        <w:rPr>
          <w:rFonts w:ascii="Times New Roman"/>
          <w:b w:val="false"/>
          <w:i w:val="false"/>
          <w:color w:val="000000"/>
          <w:sz w:val="28"/>
        </w:rPr>
        <w:t>
      Условия и порядок вступления в члены фондовой биржи определяются ее правилами.";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"6. Члены фондовой биржи:</w:t>
      </w:r>
    </w:p>
    <w:bookmarkEnd w:id="17"/>
    <w:bookmarkStart w:name="z29" w:id="18"/>
    <w:p>
      <w:pPr>
        <w:spacing w:after="0"/>
        <w:ind w:left="0"/>
        <w:jc w:val="both"/>
      </w:pPr>
      <w:r>
        <w:rPr>
          <w:rFonts w:ascii="Times New Roman"/>
          <w:b w:val="false"/>
          <w:i w:val="false"/>
          <w:color w:val="000000"/>
          <w:sz w:val="28"/>
        </w:rPr>
        <w:t>
      1) соблюдают требования законодательства Республики Казахстан и внутренних документов фондовой биржи, регламентирующих деятельность членов фондовой биржи;</w:t>
      </w:r>
    </w:p>
    <w:bookmarkEnd w:id="18"/>
    <w:bookmarkStart w:name="z30" w:id="19"/>
    <w:p>
      <w:pPr>
        <w:spacing w:after="0"/>
        <w:ind w:left="0"/>
        <w:jc w:val="both"/>
      </w:pPr>
      <w:r>
        <w:rPr>
          <w:rFonts w:ascii="Times New Roman"/>
          <w:b w:val="false"/>
          <w:i w:val="false"/>
          <w:color w:val="000000"/>
          <w:sz w:val="28"/>
        </w:rPr>
        <w:t>
      2) уплачивают членские взносы и сборы фондовой биржи в составе, в размерах, в сроки и в порядке, установленных внутренними документами фондовой биржи.";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"10. Внутренними документами фондовой биржи предусмотрены условия и порядок приостановления или прекращения членства.</w:t>
      </w:r>
    </w:p>
    <w:bookmarkEnd w:id="20"/>
    <w:bookmarkStart w:name="z33" w:id="21"/>
    <w:p>
      <w:pPr>
        <w:spacing w:after="0"/>
        <w:ind w:left="0"/>
        <w:jc w:val="both"/>
      </w:pPr>
      <w:r>
        <w:rPr>
          <w:rFonts w:ascii="Times New Roman"/>
          <w:b w:val="false"/>
          <w:i w:val="false"/>
          <w:color w:val="000000"/>
          <w:sz w:val="28"/>
        </w:rPr>
        <w:t>
      Приостановление или прекращение действия лицензии на осуществление брокерской и (или) дилерской деятельности на рынке ценных бумаг (далее - лицензия), ранее выданной данному брокеру и (или) дилеру, является основанием для приостановления или прекращения его членства на всех фондовых биржах, временного или постоянного исключения объявленных им котировок из интегрированных информационных систем биржевого и внебиржевого рынков ценных бумаг.</w:t>
      </w:r>
    </w:p>
    <w:bookmarkEnd w:id="21"/>
    <w:bookmarkStart w:name="z34" w:id="22"/>
    <w:p>
      <w:pPr>
        <w:spacing w:after="0"/>
        <w:ind w:left="0"/>
        <w:jc w:val="both"/>
      </w:pPr>
      <w:r>
        <w:rPr>
          <w:rFonts w:ascii="Times New Roman"/>
          <w:b w:val="false"/>
          <w:i w:val="false"/>
          <w:color w:val="000000"/>
          <w:sz w:val="28"/>
        </w:rPr>
        <w:t>
      Уполномоченный орган уведомляет организатора торгов о приостановлении или прекращении действия лицензии в день принятия соответствующего решения.</w:t>
      </w:r>
    </w:p>
    <w:bookmarkEnd w:id="22"/>
    <w:bookmarkStart w:name="z35" w:id="23"/>
    <w:p>
      <w:pPr>
        <w:spacing w:after="0"/>
        <w:ind w:left="0"/>
        <w:jc w:val="both"/>
      </w:pPr>
      <w:r>
        <w:rPr>
          <w:rFonts w:ascii="Times New Roman"/>
          <w:b w:val="false"/>
          <w:i w:val="false"/>
          <w:color w:val="000000"/>
          <w:sz w:val="28"/>
        </w:rPr>
        <w:t>
      Фондовая биржа отстраняет брокера и (или) дилера от участия в проводимых ею торгах финансовыми инструментами с даты получения указанного уведомления уполномоченного органа, за исключением такого участия в целях исполнения ранее заключенных им сделок или исполнения ранее возникших его обязательств.</w:t>
      </w:r>
    </w:p>
    <w:bookmarkEnd w:id="23"/>
    <w:bookmarkStart w:name="z36" w:id="24"/>
    <w:p>
      <w:pPr>
        <w:spacing w:after="0"/>
        <w:ind w:left="0"/>
        <w:jc w:val="both"/>
      </w:pPr>
      <w:r>
        <w:rPr>
          <w:rFonts w:ascii="Times New Roman"/>
          <w:b w:val="false"/>
          <w:i w:val="false"/>
          <w:color w:val="000000"/>
          <w:sz w:val="28"/>
        </w:rPr>
        <w:t>
      Фондовая биржа приостанавливает или прекращает членство брокера и (или) дилера, действие лицензии которого было приостановлено или прекращено, с даты получения уведомления уполномоченного органа о доведении его решения до сведения указанного брокера и (или) дилера.</w:t>
      </w:r>
    </w:p>
    <w:bookmarkEnd w:id="24"/>
    <w:bookmarkStart w:name="z37" w:id="25"/>
    <w:p>
      <w:pPr>
        <w:spacing w:after="0"/>
        <w:ind w:left="0"/>
        <w:jc w:val="both"/>
      </w:pPr>
      <w:r>
        <w:rPr>
          <w:rFonts w:ascii="Times New Roman"/>
          <w:b w:val="false"/>
          <w:i w:val="false"/>
          <w:color w:val="000000"/>
          <w:sz w:val="28"/>
        </w:rPr>
        <w:t>
      Организатор торгов исключает из интегрированной информационной системы биржевого рынка ценных бумаг, а также интегрированной информационной системы внебиржевого рынка ценных бумаг все котировки, объявленные брокером и (или) дилером, действие лицензии которого было приостановлено или прекращено, с даты получения указанного уведомления.";</w:t>
      </w:r>
    </w:p>
    <w:bookmarkEnd w:id="25"/>
    <w:bookmarkStart w:name="z38"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6"/>
    <w:bookmarkStart w:name="z39" w:id="27"/>
    <w:p>
      <w:pPr>
        <w:spacing w:after="0"/>
        <w:ind w:left="0"/>
        <w:jc w:val="both"/>
      </w:pPr>
      <w:r>
        <w:rPr>
          <w:rFonts w:ascii="Times New Roman"/>
          <w:b w:val="false"/>
          <w:i w:val="false"/>
          <w:color w:val="000000"/>
          <w:sz w:val="28"/>
        </w:rPr>
        <w:t>
      "Организатор торгов уведомляет уполномоченный орган обо всех случаях допуска лиц к интегрированной информационной системе биржевого рынка ценных бумаг, а также интегрированной информационной системе внебиржевого рынка ценных бумаг, отказа в допуске, временного или постоянного исключения из указанных интегрированных информационных систем котировок, объявленных клиентами данного организатора торгов, не позднее, чем на следующий рабочий день после наступления такого случая.";</w:t>
      </w:r>
    </w:p>
    <w:bookmarkEnd w:id="27"/>
    <w:bookmarkStart w:name="z40"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8"/>
    <w:bookmarkStart w:name="z41" w:id="29"/>
    <w:p>
      <w:pPr>
        <w:spacing w:after="0"/>
        <w:ind w:left="0"/>
        <w:jc w:val="both"/>
      </w:pPr>
      <w:r>
        <w:rPr>
          <w:rFonts w:ascii="Times New Roman"/>
          <w:b w:val="false"/>
          <w:i w:val="false"/>
          <w:color w:val="000000"/>
          <w:sz w:val="28"/>
        </w:rPr>
        <w:t>
      "Глава 3. Трейдеры";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3" w:id="30"/>
    <w:p>
      <w:pPr>
        <w:spacing w:after="0"/>
        <w:ind w:left="0"/>
        <w:jc w:val="both"/>
      </w:pPr>
      <w:r>
        <w:rPr>
          <w:rFonts w:ascii="Times New Roman"/>
          <w:b w:val="false"/>
          <w:i w:val="false"/>
          <w:color w:val="000000"/>
          <w:sz w:val="28"/>
        </w:rPr>
        <w:t>
      "14. Внутренними документами фондовой биржи предусматриваются условия допуска трейдеров в торговую систему.";</w:t>
      </w:r>
    </w:p>
    <w:bookmarkEnd w:id="30"/>
    <w:bookmarkStart w:name="z44" w:id="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1"/>
    <w:bookmarkStart w:name="z45" w:id="32"/>
    <w:p>
      <w:pPr>
        <w:spacing w:after="0"/>
        <w:ind w:left="0"/>
        <w:jc w:val="both"/>
      </w:pPr>
      <w:r>
        <w:rPr>
          <w:rFonts w:ascii="Times New Roman"/>
          <w:b w:val="false"/>
          <w:i w:val="false"/>
          <w:color w:val="000000"/>
          <w:sz w:val="28"/>
        </w:rPr>
        <w:t>
      "Глава 4. Ценные бумаги и иные финансовые инструменты, включенные в список фондовой биржи";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48" w:id="33"/>
    <w:p>
      <w:pPr>
        <w:spacing w:after="0"/>
        <w:ind w:left="0"/>
        <w:jc w:val="both"/>
      </w:pPr>
      <w:r>
        <w:rPr>
          <w:rFonts w:ascii="Times New Roman"/>
          <w:b w:val="false"/>
          <w:i w:val="false"/>
          <w:color w:val="000000"/>
          <w:sz w:val="28"/>
        </w:rPr>
        <w:t>
      "22. Список фондовой биржи подразделяется на отдельные площадки, секторы, категории и подкатегории.</w:t>
      </w:r>
    </w:p>
    <w:bookmarkEnd w:id="33"/>
    <w:bookmarkStart w:name="z49" w:id="34"/>
    <w:p>
      <w:pPr>
        <w:spacing w:after="0"/>
        <w:ind w:left="0"/>
        <w:jc w:val="both"/>
      </w:pPr>
      <w:r>
        <w:rPr>
          <w:rFonts w:ascii="Times New Roman"/>
          <w:b w:val="false"/>
          <w:i w:val="false"/>
          <w:color w:val="000000"/>
          <w:sz w:val="28"/>
        </w:rPr>
        <w:t>
      23. При соответствии финансового инструмента установленным фондовой биржей требованиям он включается в список фондовой биржи (в официальный список фондовой биржи).</w:t>
      </w:r>
    </w:p>
    <w:bookmarkEnd w:id="34"/>
    <w:bookmarkStart w:name="z50" w:id="35"/>
    <w:p>
      <w:pPr>
        <w:spacing w:after="0"/>
        <w:ind w:left="0"/>
        <w:jc w:val="both"/>
      </w:pPr>
      <w:r>
        <w:rPr>
          <w:rFonts w:ascii="Times New Roman"/>
          <w:b w:val="false"/>
          <w:i w:val="false"/>
          <w:color w:val="000000"/>
          <w:sz w:val="28"/>
        </w:rPr>
        <w:t>
      Список фондовой биржи формируется в соответствии с ее внутренними документами.";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"25. В числе других случаев внутренние документы фондовой биржи предусматривают, что признание государственной регистрации выпуска ценных бумаг недействительной является основанием для их делистинга.</w:t>
      </w:r>
    </w:p>
    <w:bookmarkEnd w:id="36"/>
    <w:bookmarkStart w:name="z53" w:id="37"/>
    <w:p>
      <w:pPr>
        <w:spacing w:after="0"/>
        <w:ind w:left="0"/>
        <w:jc w:val="both"/>
      </w:pPr>
      <w:r>
        <w:rPr>
          <w:rFonts w:ascii="Times New Roman"/>
          <w:b w:val="false"/>
          <w:i w:val="false"/>
          <w:color w:val="000000"/>
          <w:sz w:val="28"/>
        </w:rPr>
        <w:t>
      Уполномоченный орган уведомляет фондовую биржу о приостановлении обращения и (или) размещения ценных бумаг в день вступления в силу соответствующего решения суда.</w:t>
      </w:r>
    </w:p>
    <w:bookmarkEnd w:id="37"/>
    <w:bookmarkStart w:name="z54" w:id="38"/>
    <w:p>
      <w:pPr>
        <w:spacing w:after="0"/>
        <w:ind w:left="0"/>
        <w:jc w:val="both"/>
      </w:pPr>
      <w:r>
        <w:rPr>
          <w:rFonts w:ascii="Times New Roman"/>
          <w:b w:val="false"/>
          <w:i w:val="false"/>
          <w:color w:val="000000"/>
          <w:sz w:val="28"/>
        </w:rPr>
        <w:t>
      Фондовая биржа исключает из своего списка ценные бумаги, государственная регистрация выпуска которых признана недействительной на основании вступившего в законную силу решения суда.</w:t>
      </w:r>
    </w:p>
    <w:bookmarkEnd w:id="38"/>
    <w:bookmarkStart w:name="z55" w:id="39"/>
    <w:p>
      <w:pPr>
        <w:spacing w:after="0"/>
        <w:ind w:left="0"/>
        <w:jc w:val="both"/>
      </w:pPr>
      <w:r>
        <w:rPr>
          <w:rFonts w:ascii="Times New Roman"/>
          <w:b w:val="false"/>
          <w:i w:val="false"/>
          <w:color w:val="000000"/>
          <w:sz w:val="28"/>
        </w:rPr>
        <w:t>
      Фондовая биржа прекращает поддержание интегрированной информационной системой биржевого рынка ценных бумаг обмена котировками на ценные бумаги, государственная регистрация выпуска которых признана недействительной на основании вступившего в законную силу решения суда.";</w:t>
      </w:r>
    </w:p>
    <w:bookmarkEnd w:id="39"/>
    <w:bookmarkStart w:name="z56" w:id="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40"/>
    <w:bookmarkStart w:name="z57" w:id="41"/>
    <w:p>
      <w:pPr>
        <w:spacing w:after="0"/>
        <w:ind w:left="0"/>
        <w:jc w:val="both"/>
      </w:pPr>
      <w:r>
        <w:rPr>
          <w:rFonts w:ascii="Times New Roman"/>
          <w:b w:val="false"/>
          <w:i w:val="false"/>
          <w:color w:val="000000"/>
          <w:sz w:val="28"/>
        </w:rPr>
        <w:t>
      "Глава 5. Торговая система фондовой биржи";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59" w:id="42"/>
    <w:p>
      <w:pPr>
        <w:spacing w:after="0"/>
        <w:ind w:left="0"/>
        <w:jc w:val="both"/>
      </w:pPr>
      <w:r>
        <w:rPr>
          <w:rFonts w:ascii="Times New Roman"/>
          <w:b w:val="false"/>
          <w:i w:val="false"/>
          <w:color w:val="000000"/>
          <w:sz w:val="28"/>
        </w:rPr>
        <w:t>
      "27. Фондовая биржа в целях обеспечения бесперебойности, непрерывности своей деятельности имеет не менее двух торговых систем (интегрированных информационных систем биржевого рынка ценных бумаг), одна из которых используется в качестве основной, а остальные – в качестве резервных, либо единственную торговую систему (интегрированную информационную систему биржевого рынка ценных бумаг), резервные компоненты которой поддерживаются в состоянии, готовом к немедленной их активизации.</w:t>
      </w:r>
    </w:p>
    <w:bookmarkEnd w:id="42"/>
    <w:bookmarkStart w:name="z60" w:id="43"/>
    <w:p>
      <w:pPr>
        <w:spacing w:after="0"/>
        <w:ind w:left="0"/>
        <w:jc w:val="both"/>
      </w:pPr>
      <w:r>
        <w:rPr>
          <w:rFonts w:ascii="Times New Roman"/>
          <w:b w:val="false"/>
          <w:i w:val="false"/>
          <w:color w:val="000000"/>
          <w:sz w:val="28"/>
        </w:rPr>
        <w:t>
      При использовании нескольких торговых систем (интегрированных информационных систем биржевого рынка ценных бумаг) внутренними документами фондовой биржи определяются основная и резервные системы, а также порядок их поддержания в состоянии, готовом к немедленной активизации и использованию.</w:t>
      </w:r>
    </w:p>
    <w:bookmarkEnd w:id="43"/>
    <w:bookmarkStart w:name="z61" w:id="44"/>
    <w:p>
      <w:pPr>
        <w:spacing w:after="0"/>
        <w:ind w:left="0"/>
        <w:jc w:val="both"/>
      </w:pPr>
      <w:r>
        <w:rPr>
          <w:rFonts w:ascii="Times New Roman"/>
          <w:b w:val="false"/>
          <w:i w:val="false"/>
          <w:color w:val="000000"/>
          <w:sz w:val="28"/>
        </w:rPr>
        <w:t>
      При использовании единственной торговой системы (интегрированной информационной системы биржевого рынка ценных бумаг) внутренними документами фондовой биржи определяется порядок поддержания резервных компонентов торговой системы (интегрированной информационной системы биржевого рынка ценных бумаг) в состоянии, готовом к немедленной активизации.</w:t>
      </w:r>
    </w:p>
    <w:bookmarkEnd w:id="44"/>
    <w:bookmarkStart w:name="z62" w:id="45"/>
    <w:p>
      <w:pPr>
        <w:spacing w:after="0"/>
        <w:ind w:left="0"/>
        <w:jc w:val="both"/>
      </w:pPr>
      <w:r>
        <w:rPr>
          <w:rFonts w:ascii="Times New Roman"/>
          <w:b w:val="false"/>
          <w:i w:val="false"/>
          <w:color w:val="000000"/>
          <w:sz w:val="28"/>
        </w:rPr>
        <w:t>
      28. Фондовая биржа предпринимает все возможные усилия для поддержания своей торговой системы (интегрированной информационной системы биржевого рынка ценных бумаг) в рабочем состоянии и незамедлительно уведомляет своих членов о сбоях в ее работе и мерах по устранению таких сбоев.";</w:t>
      </w:r>
    </w:p>
    <w:bookmarkEnd w:id="45"/>
    <w:bookmarkStart w:name="z63"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46"/>
    <w:bookmarkStart w:name="z64" w:id="47"/>
    <w:p>
      <w:pPr>
        <w:spacing w:after="0"/>
        <w:ind w:left="0"/>
        <w:jc w:val="both"/>
      </w:pPr>
      <w:r>
        <w:rPr>
          <w:rFonts w:ascii="Times New Roman"/>
          <w:b w:val="false"/>
          <w:i w:val="false"/>
          <w:color w:val="000000"/>
          <w:sz w:val="28"/>
        </w:rPr>
        <w:t>
      "Глава 6. Резервный центр фондовой биржи";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66" w:id="48"/>
    <w:p>
      <w:pPr>
        <w:spacing w:after="0"/>
        <w:ind w:left="0"/>
        <w:jc w:val="both"/>
      </w:pPr>
      <w:r>
        <w:rPr>
          <w:rFonts w:ascii="Times New Roman"/>
          <w:b w:val="false"/>
          <w:i w:val="false"/>
          <w:color w:val="000000"/>
          <w:sz w:val="28"/>
        </w:rPr>
        <w:t>
      "30. Фондовая биржа имеет резервный технический центр и обеспечивает его постоянную готовность к немедленной активизации. Резервный технический центр соответствует следующим требованиям:</w:t>
      </w:r>
    </w:p>
    <w:bookmarkEnd w:id="48"/>
    <w:bookmarkStart w:name="z67" w:id="49"/>
    <w:p>
      <w:pPr>
        <w:spacing w:after="0"/>
        <w:ind w:left="0"/>
        <w:jc w:val="both"/>
      </w:pPr>
      <w:r>
        <w:rPr>
          <w:rFonts w:ascii="Times New Roman"/>
          <w:b w:val="false"/>
          <w:i w:val="false"/>
          <w:color w:val="000000"/>
          <w:sz w:val="28"/>
        </w:rPr>
        <w:t>
      1) содержит копию торговой системы (интегрированной информационной системы биржевого рынка ценных бумаг), идентичную основной торговой системе (интегрированной информационной системе биржевого рынка ценных бумаг), и копии резервных систем, идентичных тем резервным системам фондовой биржи, которые находятся по месту нахождения ее основной торговой системы (интегрированной информационной системы биржевого рынка ценных бумаг);</w:t>
      </w:r>
    </w:p>
    <w:bookmarkEnd w:id="49"/>
    <w:bookmarkStart w:name="z68" w:id="50"/>
    <w:p>
      <w:pPr>
        <w:spacing w:after="0"/>
        <w:ind w:left="0"/>
        <w:jc w:val="both"/>
      </w:pPr>
      <w:r>
        <w:rPr>
          <w:rFonts w:ascii="Times New Roman"/>
          <w:b w:val="false"/>
          <w:i w:val="false"/>
          <w:color w:val="000000"/>
          <w:sz w:val="28"/>
        </w:rPr>
        <w:t>
      2) располагается не менее чем в 25 километрах от места нахождения основной торговой системы (интегрированной информационной системы биржевого рынка ценных бумаг);</w:t>
      </w:r>
    </w:p>
    <w:bookmarkEnd w:id="50"/>
    <w:bookmarkStart w:name="z69" w:id="51"/>
    <w:p>
      <w:pPr>
        <w:spacing w:after="0"/>
        <w:ind w:left="0"/>
        <w:jc w:val="both"/>
      </w:pPr>
      <w:r>
        <w:rPr>
          <w:rFonts w:ascii="Times New Roman"/>
          <w:b w:val="false"/>
          <w:i w:val="false"/>
          <w:color w:val="000000"/>
          <w:sz w:val="28"/>
        </w:rPr>
        <w:t>
      3) обеспечивается всеми коммуникациями, необходимыми для осуществления деятельности фондовой биржи;</w:t>
      </w:r>
    </w:p>
    <w:bookmarkEnd w:id="51"/>
    <w:bookmarkStart w:name="z70" w:id="52"/>
    <w:p>
      <w:pPr>
        <w:spacing w:after="0"/>
        <w:ind w:left="0"/>
        <w:jc w:val="both"/>
      </w:pPr>
      <w:r>
        <w:rPr>
          <w:rFonts w:ascii="Times New Roman"/>
          <w:b w:val="false"/>
          <w:i w:val="false"/>
          <w:color w:val="000000"/>
          <w:sz w:val="28"/>
        </w:rPr>
        <w:t>
      4) при возникновении нештатной ситуации и невозможности проведения торгов по месту нахождения основной торговой системы (интегрированной информационной системы биржевого рынка ценных бумаг) представляет возможность проведения торгов не позднее, чем на следующий рабочий день после прекращения торгов по месту нахождения основной торговой системы.";</w:t>
      </w:r>
    </w:p>
    <w:bookmarkEnd w:id="52"/>
    <w:bookmarkStart w:name="z71" w:id="5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End w:id="53"/>
    <w:bookmarkStart w:name="z72" w:id="54"/>
    <w:p>
      <w:pPr>
        <w:spacing w:after="0"/>
        <w:ind w:left="0"/>
        <w:jc w:val="both"/>
      </w:pPr>
      <w:r>
        <w:rPr>
          <w:rFonts w:ascii="Times New Roman"/>
          <w:b w:val="false"/>
          <w:i w:val="false"/>
          <w:color w:val="000000"/>
          <w:sz w:val="28"/>
        </w:rPr>
        <w:t>
      "Глава 7. Проведение торгов и заключение сделок с финансовыми инструментами</w:t>
      </w:r>
    </w:p>
    <w:bookmarkEnd w:id="54"/>
    <w:bookmarkStart w:name="z73" w:id="55"/>
    <w:p>
      <w:pPr>
        <w:spacing w:after="0"/>
        <w:ind w:left="0"/>
        <w:jc w:val="both"/>
      </w:pPr>
      <w:r>
        <w:rPr>
          <w:rFonts w:ascii="Times New Roman"/>
          <w:b w:val="false"/>
          <w:i w:val="false"/>
          <w:color w:val="000000"/>
          <w:sz w:val="28"/>
        </w:rPr>
        <w:t>
      Глава 8. Деятельность маркет-мейкеров</w:t>
      </w:r>
    </w:p>
    <w:bookmarkEnd w:id="55"/>
    <w:bookmarkStart w:name="z74" w:id="56"/>
    <w:p>
      <w:pPr>
        <w:spacing w:after="0"/>
        <w:ind w:left="0"/>
        <w:jc w:val="both"/>
      </w:pPr>
      <w:r>
        <w:rPr>
          <w:rFonts w:ascii="Times New Roman"/>
          <w:b w:val="false"/>
          <w:i w:val="false"/>
          <w:color w:val="000000"/>
          <w:sz w:val="28"/>
        </w:rPr>
        <w:t>
      Глава 9. Условия и порядок приостановления фондовой биржей торгов с ценными бумагами</w:t>
      </w:r>
    </w:p>
    <w:bookmarkEnd w:id="56"/>
    <w:bookmarkStart w:name="z75" w:id="57"/>
    <w:p>
      <w:pPr>
        <w:spacing w:after="0"/>
        <w:ind w:left="0"/>
        <w:jc w:val="both"/>
      </w:pPr>
      <w:r>
        <w:rPr>
          <w:rFonts w:ascii="Times New Roman"/>
          <w:b w:val="false"/>
          <w:i w:val="false"/>
          <w:color w:val="000000"/>
          <w:sz w:val="28"/>
        </w:rPr>
        <w:t>
      Глава 10. Система подтверждения фондовой биржи</w:t>
      </w:r>
    </w:p>
    <w:bookmarkEnd w:id="57"/>
    <w:bookmarkStart w:name="z76" w:id="58"/>
    <w:p>
      <w:pPr>
        <w:spacing w:after="0"/>
        <w:ind w:left="0"/>
        <w:jc w:val="both"/>
      </w:pPr>
      <w:r>
        <w:rPr>
          <w:rFonts w:ascii="Times New Roman"/>
          <w:b w:val="false"/>
          <w:i w:val="false"/>
          <w:color w:val="000000"/>
          <w:sz w:val="28"/>
        </w:rPr>
        <w:t>
      Глава 11. Исполнение сделок с финансовыми инструментами".</w:t>
      </w:r>
    </w:p>
    <w:bookmarkEnd w:id="58"/>
    <w:bookmarkStart w:name="z77" w:id="5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 следующие изменения:</w:t>
      </w:r>
    </w:p>
    <w:bookmarkEnd w:id="59"/>
    <w:bookmarkStart w:name="z78"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эмитентам и их ценным бумагам, допускаемым (допущенным) к обращению на фондовой бирже, а также к отдельным категориям списка фондовой биржи, утвержденных указанным постановлением: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0" w:id="61"/>
    <w:p>
      <w:pPr>
        <w:spacing w:after="0"/>
        <w:ind w:left="0"/>
        <w:jc w:val="both"/>
      </w:pPr>
      <w:r>
        <w:rPr>
          <w:rFonts w:ascii="Times New Roman"/>
          <w:b w:val="false"/>
          <w:i w:val="false"/>
          <w:color w:val="000000"/>
          <w:sz w:val="28"/>
        </w:rPr>
        <w:t>
      "4. Список фондовой биржи состоит из официального списка фондовой биржи, сектора "Нелистинговые ценные бумаги", а также отдельных площадок, секторов, категорий и подкатегорий, предусмотренных внутренними документами фондовой биржи.";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38 изложить в следующей редакции:</w:t>
      </w:r>
    </w:p>
    <w:bookmarkStart w:name="z82" w:id="62"/>
    <w:p>
      <w:pPr>
        <w:spacing w:after="0"/>
        <w:ind w:left="0"/>
        <w:jc w:val="both"/>
      </w:pPr>
      <w:r>
        <w:rPr>
          <w:rFonts w:ascii="Times New Roman"/>
          <w:b w:val="false"/>
          <w:i w:val="false"/>
          <w:color w:val="000000"/>
          <w:sz w:val="28"/>
        </w:rPr>
        <w:t>
      "1) данные ценные бумаги включены в официальный список одной из фондовых бирж, входящих в перечень бирж, признаваемых фондовой биржей, либо если ценными бумагами являются депозитарные расписки, то данные депозитарные расписки или акции, которые являются их базовым активом, предварительно включаются в официальный список одной из фондовых бирж, входящих в перечень бирж, признаваемых фондовой биржей;";</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4" w:id="63"/>
    <w:p>
      <w:pPr>
        <w:spacing w:after="0"/>
        <w:ind w:left="0"/>
        <w:jc w:val="both"/>
      </w:pPr>
      <w:r>
        <w:rPr>
          <w:rFonts w:ascii="Times New Roman"/>
          <w:b w:val="false"/>
          <w:i w:val="false"/>
          <w:color w:val="000000"/>
          <w:sz w:val="28"/>
        </w:rPr>
        <w:t>
      "39. Включение (допуск к обращению) ценных бумаг эмитентов в официальный список фондовой биржи и их нахождение в нем по упрощенной процедуре осуществляются в соответствии с внутренними документами фондовой биржи без соблюдения требований, установленных подпунктами 1) и 2) пункта 38 Требований, в следующих случаях:</w:t>
      </w:r>
    </w:p>
    <w:bookmarkEnd w:id="63"/>
    <w:bookmarkStart w:name="z85" w:id="64"/>
    <w:p>
      <w:pPr>
        <w:spacing w:after="0"/>
        <w:ind w:left="0"/>
        <w:jc w:val="both"/>
      </w:pPr>
      <w:r>
        <w:rPr>
          <w:rFonts w:ascii="Times New Roman"/>
          <w:b w:val="false"/>
          <w:i w:val="false"/>
          <w:color w:val="000000"/>
          <w:sz w:val="28"/>
        </w:rPr>
        <w:t>
      1) если данные ценные бумаги являются облигациями, срок обращения которых составляет не более 12 (двенадцати) месяцев;</w:t>
      </w:r>
    </w:p>
    <w:bookmarkEnd w:id="64"/>
    <w:bookmarkStart w:name="z86" w:id="65"/>
    <w:p>
      <w:pPr>
        <w:spacing w:after="0"/>
        <w:ind w:left="0"/>
        <w:jc w:val="both"/>
      </w:pPr>
      <w:r>
        <w:rPr>
          <w:rFonts w:ascii="Times New Roman"/>
          <w:b w:val="false"/>
          <w:i w:val="false"/>
          <w:color w:val="000000"/>
          <w:sz w:val="28"/>
        </w:rPr>
        <w:t>
      2) если данные ценные бумаги являются ценными бумагами международных финансовых организаций, которые допускаются к обращению на площадке "Смешанная" в секторе "ценные бумаги международных финансовых организаций".</w:t>
      </w:r>
    </w:p>
    <w:bookmarkEnd w:id="65"/>
    <w:bookmarkStart w:name="z87" w:id="66"/>
    <w:p>
      <w:pPr>
        <w:spacing w:after="0"/>
        <w:ind w:left="0"/>
        <w:jc w:val="both"/>
      </w:pP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внутренними документами фондовой биржи;</w:t>
      </w:r>
    </w:p>
    <w:bookmarkEnd w:id="66"/>
    <w:bookmarkStart w:name="z88" w:id="67"/>
    <w:p>
      <w:pPr>
        <w:spacing w:after="0"/>
        <w:ind w:left="0"/>
        <w:jc w:val="both"/>
      </w:pPr>
      <w:r>
        <w:rPr>
          <w:rFonts w:ascii="Times New Roman"/>
          <w:b w:val="false"/>
          <w:i w:val="false"/>
          <w:color w:val="000000"/>
          <w:sz w:val="28"/>
        </w:rPr>
        <w:t>
      3) если данные ценные бумаги являются государственными ценными бумагами, включая облигации местных исполнительных органов, которые допускаются к обращению на площадке "Смешанная" в секторе "государственные ценные бумаги";</w:t>
      </w:r>
    </w:p>
    <w:bookmarkEnd w:id="67"/>
    <w:bookmarkStart w:name="z89" w:id="68"/>
    <w:p>
      <w:pPr>
        <w:spacing w:after="0"/>
        <w:ind w:left="0"/>
        <w:jc w:val="both"/>
      </w:pPr>
      <w:r>
        <w:rPr>
          <w:rFonts w:ascii="Times New Roman"/>
          <w:b w:val="false"/>
          <w:i w:val="false"/>
          <w:color w:val="000000"/>
          <w:sz w:val="28"/>
        </w:rPr>
        <w:t xml:space="preserve">
      4) если данные ценные бумаги являются ценными бумагами, которые допускаются к обращению в какой-либо из секторов, созданных и функционирующих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8, </w:t>
      </w:r>
      <w:r>
        <w:rPr>
          <w:rFonts w:ascii="Times New Roman"/>
          <w:b w:val="false"/>
          <w:i w:val="false"/>
          <w:color w:val="000000"/>
          <w:sz w:val="28"/>
        </w:rPr>
        <w:t>подпунктом 3)</w:t>
      </w:r>
      <w:r>
        <w:rPr>
          <w:rFonts w:ascii="Times New Roman"/>
          <w:b w:val="false"/>
          <w:i w:val="false"/>
          <w:color w:val="000000"/>
          <w:sz w:val="28"/>
        </w:rPr>
        <w:t xml:space="preserve"> пункта 14 и </w:t>
      </w:r>
      <w:r>
        <w:rPr>
          <w:rFonts w:ascii="Times New Roman"/>
          <w:b w:val="false"/>
          <w:i w:val="false"/>
          <w:color w:val="000000"/>
          <w:sz w:val="28"/>
        </w:rPr>
        <w:t>подпунктом 6)</w:t>
      </w:r>
      <w:r>
        <w:rPr>
          <w:rFonts w:ascii="Times New Roman"/>
          <w:b w:val="false"/>
          <w:i w:val="false"/>
          <w:color w:val="000000"/>
          <w:sz w:val="28"/>
        </w:rPr>
        <w:t xml:space="preserve"> пункта 36 Требований;</w:t>
      </w:r>
    </w:p>
    <w:bookmarkEnd w:id="68"/>
    <w:bookmarkStart w:name="z90" w:id="69"/>
    <w:p>
      <w:pPr>
        <w:spacing w:after="0"/>
        <w:ind w:left="0"/>
        <w:jc w:val="both"/>
      </w:pPr>
      <w:r>
        <w:rPr>
          <w:rFonts w:ascii="Times New Roman"/>
          <w:b w:val="false"/>
          <w:i w:val="false"/>
          <w:color w:val="000000"/>
          <w:sz w:val="28"/>
        </w:rPr>
        <w:t>
      5) если эмитентом данных ценных бумаг является фондовая биржа;</w:t>
      </w:r>
    </w:p>
    <w:bookmarkEnd w:id="69"/>
    <w:bookmarkStart w:name="z91" w:id="70"/>
    <w:p>
      <w:pPr>
        <w:spacing w:after="0"/>
        <w:ind w:left="0"/>
        <w:jc w:val="both"/>
      </w:pPr>
      <w:r>
        <w:rPr>
          <w:rFonts w:ascii="Times New Roman"/>
          <w:b w:val="false"/>
          <w:i w:val="false"/>
          <w:color w:val="000000"/>
          <w:sz w:val="28"/>
        </w:rPr>
        <w:t>
      6) если эмитентом данных ценных бумаг является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70"/>
    <w:bookmarkStart w:name="z92" w:id="71"/>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71"/>
    <w:bookmarkStart w:name="z93" w:id="7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72"/>
    <w:bookmarkStart w:name="z94" w:id="7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3"/>
    <w:bookmarkStart w:name="z95" w:id="74"/>
    <w:p>
      <w:pPr>
        <w:spacing w:after="0"/>
        <w:ind w:left="0"/>
        <w:jc w:val="both"/>
      </w:pPr>
      <w:r>
        <w:rPr>
          <w:rFonts w:ascii="Times New Roman"/>
          <w:b w:val="false"/>
          <w:i w:val="false"/>
          <w:color w:val="000000"/>
          <w:sz w:val="28"/>
        </w:rPr>
        <w:t>
      3) размещение настоящего постановления на официальном интернет - ресурсе Национального Банка Республики Казахстан после его официального опубликования;</w:t>
      </w:r>
    </w:p>
    <w:bookmarkEnd w:id="74"/>
    <w:bookmarkStart w:name="z96" w:id="7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5"/>
    <w:bookmarkStart w:name="z97" w:id="76"/>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6"/>
    <w:bookmarkStart w:name="z98" w:id="7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77"/>
    <w:bookmarkStart w:name="z99" w:id="78"/>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тридцать восьмого и тридцать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2019 года, абзацев третьего, четвертого, пятого, шестого,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сорокового, сорок первого,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и семьдесят второго пункта 1 настоящего постановления, которые вводятся в действие с 1 июля 2019 года.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24.09.2018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