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49fdb" w14:textId="5f49f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исчисления, условий действия плавающей ставки вознаграждения по договорам банковского вклада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27 августа 2018 года № 194. Зарегистрировано в Министерстве юстиции Республики Казахстан 5 октября 2018 года № 17493.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июля 1999 года (Особенная часть)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Правления Национального Банка РК от 19.11.2019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исчисления, условия действия плавающей ставки вознаграждения по договорам банковского вклада.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финансового рынка (Салимбаев Д.Н.)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3 настоящего постановления.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Национального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2018 года № 194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исчисления, условия действия плавающей ставки вознаграждения по договорам банковского вклада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исчисления, условия действия плавающей ставки вознаграждения по договорам банковского вклада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июля 1999 года (Особенная часть) и определяют порядок исчисления и условия действия плавающей ставки вознаграждения по договорам срочного или сберегательного вкладов, заключаемым с физическими и юридическими лицами (далее - договор), для банков второго уровня, филиалов банков-нерезидентов Республики Казахстан (далее – банк).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Агентства РК по регулированию и развитию финансового рынка от 17.02.2021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Плавающая ставка вознаграждения определяется как сумма базового показателя и ставки процентного спрэда.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качестве базового показателя по договорам используется один из следующих показателей: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базовая ставка, устанавливаемая Национальным Банком Республики Казахстан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марта 1995 года "О Национальном Банке Республики Казахстан";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уровень инфляции, публикуемый уполномоченным органом в области государственной статистики Республики Казахстан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марта 2010 года "О государственной статистике";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ставка Tenge OverNight Index Average (TONIA) – средневзвешенная процентная ставка по сделкам открытия репо сроком на 1 (один) рабочий день в секторе автоматического репо с государственными ценными бумагами Республики Казахстан, заключенным на фондовой бирже;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ставка Tenge Week Index Average (TWINA) – средневзвешенная процентная ставка по сделкам открытия репо сроком на 7 (семь) календарных дней в секторе автоматического репо с государственными ценными бумагами Республики Казахстан, заключенным на фондовой бирже.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постановлением Правления Национального Банка РК от 19.11.2019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Процентный спрэд выражается в номинальной величине, исчисляемой в процентных пунктах, и представляет собой фиксированное значение, устанавливаемое банком при заключении договора, которое не подлежит изменению, за исключением случаев увеличения размера процентного спрэда и (или) продления срока вклада.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случае, если значение плавающей ставки в период действия договора составляет отрицательное значение, то ее значение принимается равным нулю.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период действия договора банк пересматривает плавающую ставку вознаграждения в соответствии с условиями договора с учетом базового показателя, используемого для расчета плавающей ставки вознаграждения.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