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2c4b" w14:textId="4872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21 сентября 2018 года № 408. Зарегистрирован в Министерстве юстиции Республики Казахстан 8 октября 2018 года № 17503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 (зарегистрирован в Реестре государственной регистрации нормативных правовых актов за № 10730, опубликован 20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Не допускается использовать РЭС в диапазоне 27 МГц и маломощные носимые РЭС мощностью до двух ватт, указанные в строке 19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оказания услуг связи.";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Разрешение на РЧС действует при условии ежегодной уплаты за использование РЧС в соответствии с Налоговым кодексом.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Разрешение на РЧС продлевается автоматически на следующий год посредством Портала,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марта, 25 июня, 25 сентября и 25 декабря текущего года.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Территориальные подразделения по месту использования РЧС ежегодно выписывают извещения на Разрешение на РЧС с указанием годовой суммы платы и направляют его плательщикам платы посредством Портала не позднее 20 февраля текущего отчетного периода.".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"29" августа 2018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"5" сентября 2018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"28" августа 2018 года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"28" августа 2018 года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"12" сентября 2018 года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сентября 2018 года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