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660e" w14:textId="3eb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по соблюдению законодательства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и противодействию коррупции от 31 октября 2018 года № 253 и Министра национальной экономики Республики Казахстан от 31 октября 2018 года № 51. Зарегистрирован в Министерстве юстиции Республики Казахстан 1 ноября 2018 года № 17671. Утратил силу совместным приказом Председателя Агентства Республики Казахстан по делам государственной службы от 23 ноября 2022 года № 233 и Министра национальной экономики Республики Казахстан от 25 ноября 2022 года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государственной службы от 23.11.2022 № 233 и Министра национальной экономики РК от 25.11.2022 № 89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по соблюдению законодательства в сфере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оказания государственных услуг по 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контроля за качеством оказания государственных услуг, утвержденных приказом Председателя Агентства Республики Казахстан по делам государственной службы и противодействию коррупции от 8 декабря 2016 года № 78 (зарегистрирован в Реестре государственной регистрации нормативных правовых актов за № 14740), подзаконных нормативных правовых актов, определяющих порядок оказания государственных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приказом Председателя Агентство РК по делам государственной службы от 01.11.2021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02.11.2021 № 99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9 февраля 2017 года № 32 и Министра национальной экономики Республики Казахстан от 15 февраля 2017 года № 68 "Об утверждении критериев оценки степени риска и проверочного листа по соблюдению законодательства в сфере оказания государственных услуг" (зарегистрирован в Реестре государственной регистрации нормативных правовых актов за № 14909, опубликован 28 марта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контроля и оценки качества оказания государственных услуг.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 службы и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Шпекбаев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К. Жакипбаев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51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по соблюдению законодательства в сфере оказания государственных услуг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Председателя Агентство РК по делам государственной службы от 01.11.2021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02.11.2021 № 99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по соблюдению законодательства в сфере оказания государственных услуг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для решения вопросов отнесения субъектов контроля к определенной группе риска.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нарушения прав, свобод и законных интересов услугополучателей при оказании государственных услуг;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данное развитие, позволяющих отнести субъектов контроля к различным степеням риска;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сфере оказания государственных услуг и не зависящие непосредственно от отдельного субъекта (объекта) контроля и надзора;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–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грубые нарушения – нарушения требований, установленных Законом, подзаконными нормативными правовыми актами, определяющими порядок оказания государственных услуг, утверждаемыми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подзаконные нормативные правовые акты), имеющих определяющее негативное влияние на соблюдение общественных отношений, связанных с оказанием государственных услуг, реализацию прав, свобод и законных интересов услугополучателей, предоставление им соответствующих материальных или нематериальных благ, в том числе влекущих административную ответственность, а также неэффективная деятельность государственного органа по оказанию государственных услуг по итогам ежегодной операционной оценки эффективности деятельности государственного органа;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значительные нарушения – нарушения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подзаконными нормативными правовыми актами, не имеющих определяющее негативное влияние на соблюдение общественных отношений, связанных с оказанием государственных услуг, реализацию прав, свобод и законных интересов услугополучателей, предоставление им соответствующих материальных или нематериальных благ, в том числе не влекущих административную ответственность;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незначительные нарушения – нарушения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подзаконными нормативными правовыми актами, не влияющих на соблюдение общественных отношений, связанных с оказанием государственных услуг, реализацию прав, свобод и законных интересов услугополучателей, предоставление им соответствующих материальных или нематериальных благ;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истребование излишних документов – запрашивание документов, не предусмотренных установленным перечнем в подзаконных нормативных правовых актах;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при неполном пакете документов – выдача результата оказания государственной услуги при несоответствии перечня документов или сведений, указанных в них, требованиям подзаконных нормативных правовых актов;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оказания государственных услуг – порядок действий структурных подразделений (работников), в том числе их надлежащее и своевременное выполнение, взаимодействие структурных подразделений (работников) услугодателей в процессе оказания государственных услуг, взаимодействия с отделами по обслуживанию населения филиалов некоммерческого акционерного общества "Государственная корпорация "Правительство для граждан" и (или) иными услугодателями, а также использования информационных систем в процессе оказания государственных услуг;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обоснованный отказ в оказании государственных услуг – отказ в случаях и по основаниям, установленным Законом;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сроки оказания государственных услуг – сроки предоставления результата оказания государственных услуг, предусмотренные в подзаконных нормативных правовых актах;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государственных услуг – классифицированный перечень государственных услуг.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рисков осуществляется на основе объективных и субъективных критериев.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субъектов контроля, отнесенных к высокой степени риска, проводится профилактический контроль с посещением субъекта контроля.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следующих этапов: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субъектов контроля осуществляется в зависимости от количества оказанных государственных услуг, а также возможности наступления неблагоприятных последствий для законных интересов физических и юридических лиц, государства.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по объективным критериям относятся субъекты контроля в случаях: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субъектом контроля свыше тысячи государственных услуг за последние шесть месяцев, предшествующих утверждению графика проведения профилактического контроля с посещением субъекта контроля;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жалоб в уполномоченный орган по оценке и контролю за качеством оказания государственных услуг от физических и (или) юридических лиц за последние шесть месяцев, предшествующих утверждению графика проведения профилактического контроля с посещением субъекта контроля;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в течение года лиц, привлеченных к административной ответственности за несоблюдение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в течение года в средствах массовой информации (в том числе интернет-ресурсах) негативных материалов, имеющих общественный резонанс, касающихся качества оказания государственных услуг субъектов контроля;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в течение года трех и более проверок по соблюдению требований Закона, подзаконных нормативных правовых актов;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в отчете о работе по внутреннему контролю за качеством оказания государственных услуг фактов отказов в оказании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риска субъекты контроля распределяются по двум степеням риска (высокая и не отнесенная к высокой).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на основании следующих информационных источников: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 уполномоченного органа по оценке и контролю за качеством оказания государственных услуг;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жалоб и обращений на качество оказанных государственных услуг, поступивших от физических или юридических лиц;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 отчетности и сведений, представляемых субъектами контроля, а также получаемых из информационных систем государственных органов;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разработаны на основании требований законодательства Республики Казахстан в сфере оказания государственных услуг, перечисленных в проверочном листе, которые разделены на три степени нарушения: грубые, значительные и незначительные.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Республики Казахстан в сфере оказания государственных услуг на грубые, значительные и незначительные нарушения приведено в приложении к настоящим Критериям.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информационных источников, определенных в пункте 7 настоящих Критериев, определяются субъективные критерии степени риска субъектов контроля по соблюдению законодательства в сфере оказания государственных услуг согласно приложению к настоящим Критериям.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показателям степени риска субъект контроля относится: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контроля;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контроля.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присваивается показатель степени риска 100, и в отношении него проводится профилактический контроль с посещением субъекта контроля.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профилактического контроля с посещением субъекта контроля не более одного раза в год.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Профилактический контроль с посещением субъекта контроля проводится на основании полугодового списка проведения профилактического контроля с посещением субъекта контроля, утверждаемого в срок до 10 декабря года, предшествующего году проведения профилактического контроля с посещением субъекта контроля, и до 10 мая текущего календарного года приказом руководителя уполномоченного органа по оценке и контролю за качеством оказания государственных услуг или лицом, исполняющим его обязанности.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степени риска субъектов контроля по соблюдению законодательства в сфере оказания государственных услуг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контроля уполномоченного органа по оценке и контролю за качеством оказания государственных услуг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отчета о завершении публичного обсуждения проектов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в части учета замечаний и предложений физических и юридических лиц, права, свободы и законные интересы которых затрагиваются в подзаконных нормативных правовых актах, определяющих порядок оказания государственных услуг, полученных в ходе публичного обсуждения, подлежащего размещению на веб-портале "электронного правительства", интернет-ресурсе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центральным государственным органом порядка разработки и утверждения, а также изменения, дополнения и отмены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в обязательном порядке подлежащих публичному обсуждению в течение десяти рабочих дней со дня их размещения для публичного обсуждения на веб-портале "электронного правительства" и интернет-ресурсе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центральным государственным органом двухмесячного срока разработки и утверждения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со дня утверждения реестра государственных услуг или внесения изменений и (или) дополнений в 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актуализации информации о порядке оказания государственных услуг на веб-портале "электронного правительства", интернет-ресурсе государственного органа и соблюдение требования к направлению в Единый контакт-центр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о стадии исполнения государственной услуги, а также предоставление услугополучателям полной и достоверной информации о порядке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(сертификаты, дипломы и другое) по повышению квалификации работников в сфере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оплаты при оказании государственной услуги, которая предоставляется на бесплатной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излишних документов от услугополучателей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оказания государственной услуги при неполном пакете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порядка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Обоснованный отказ в оказании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информированию услугополучателей о результатах рассмотрения жалобы, подлежащей к рассмотрению в течение пяти рабочих дней со дня ее регистрации, а также полноты удовлетворения жалобы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подтверждающими сведения, указанные в отчетной форме о работе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реже одного раза в год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лиц, подлежащих ежегодному размещению на веб-портале "электронного правительства", интернет-ресурсах и других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подтвержденных жалоб и обращений на качество оказанных государственных услуг, поступивших от физических и/или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жалобы или обращения, подтвержденных уполномоченным органом по оценке и контролю за качеством оказания государственных услуг, поступивших от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рассмотрения в течение пяти рабочих дней жалобы услугополучателя, поступившей в адрес государственного органа, некоммерческого акционерного общества "Государственная корпорация "Правительство для граждан",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мониторинга отчетности и сведений, представляемых субъектами контроля, а также получаемых из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Несвоевременное предоставление в уполномоченный орган по оценке и контролю за качеством оказания государственных услуг отчетной информации по внутреннему контролю за качеством оказания государственных услуг с аналитической справкой ежеквартально до 10 числа месяца, следующего за отчетным периодом,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контроля за качеством оказания государственных услуг, утвержденными приказом Председателя Агентства Республики Казахстан по делам государственной службы и противодействию коррупции от 8 декабря 2016 года № 78 (зарегистрирован в Реестре государственной регистрации нормативных правовых актов за № 14740)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Необеспечение предоставления в уполномоченный орган по оценке и контролю за качеством оказания государственных услуг на ежеквартальной основе отчетной информации по внутреннему контролю за качеством оказания государственных услуг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контроля за качеством оказания государственных услуг, утвержденными приказом Председателя Агентства Республики Казахстан по делам государственной службы и противодействию коррупции от 8 декабря 2016 года № 78 (зарегистрирован в Реестре государственной регистрации нормативных правовых актов за № 14740)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сроков оказания государственных услуг в отчетных данных субъектов контроля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 на качество оказания государственных услуг в отчетной информации субъектов контроля по внутреннему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Непредставление достоверной и (или) в полном объеме информации в отчетной информации по внутреннему контролю за качеством оказания государственных услуг согласно формам отчета,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контроля за качеством оказания государственных услуг, утвержденными приказом Председателя Агентства Республики Казахстан по делам государственной службы и противодействию коррупции от 8 декабря 2016 года № 78 (зарегистрирован в Реестре государственной регистрации нормативных правовых актов за № 14740)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анализу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на интернет-ресурсе субъекта контроля результатов контроля качества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на веб-портале "электронного правительства", интернет-ресурсах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Неразмещение субъектом контроля на веб-портале "электронного правительства", интернет-ресурсах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проектов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Казахстан"О государственных услугах", для его публичного обсуждения на веб-портале "электронного правительства", своем интернет-ресурсе и (или) интернет-ресурсах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Неразмещение отчета о завершении публичного обсуждения проектов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на веб-портале "электронного правительства", своем интернет-ресурсе и (или) интернет-ресурсах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критической информации в средствах массовой информации касательно некачественного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сведений, отчетных данных, представляемых уполномоченными органами и организациями по запросу,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оказания государственных услуг согласно информации Интегрированной информационной системы "Мониторинг" уполномоченного органа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запрашиваемой информации, относящейся к сфере оказания государственных услуг, за исключением информации, составляющей государственные секреты, коммерческую и иную охраняемую законом тайну, при проведении общественного мониторинга качества оказания государственных услуг по государственному социальному заказу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деятельность центрального государственного органа по оказанию государственных услуг по итогам ежегодной операционной оценки эффективности деятельности государственного органа в соответствии с Методикой операционной оценки взаимодействия государственного органа с физическими и юридическими лицами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51</w:t>
            </w:r>
          </w:p>
        </w:tc>
      </w:tr>
    </w:tbl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оказания государственных услуг по соблюдению требований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"О государственных услугах", Правил государственного контроля за качеством оказания государственных услуг, утвержденных приказом</w:t>
      </w:r>
      <w:r>
        <w:br/>
      </w:r>
      <w:r>
        <w:rPr>
          <w:rFonts w:ascii="Times New Roman"/>
          <w:b/>
          <w:i w:val="false"/>
          <w:color w:val="000000"/>
        </w:rPr>
        <w:t>Председателя Агентства Республики Казахстан по делам государственной службы и противодействию коррупции от 8 декабря 2016 года № 78</w:t>
      </w:r>
      <w:r>
        <w:br/>
      </w:r>
      <w:r>
        <w:rPr>
          <w:rFonts w:ascii="Times New Roman"/>
          <w:b/>
          <w:i w:val="false"/>
          <w:color w:val="000000"/>
        </w:rPr>
        <w:t>(зарегистрирован в Реестре государственной регистрации нормативных правовых актов за № 14740), подзаконных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определяющих порядок оказания государственных услуг утверждаемых согласно подпункту 1) статьи 10 Закона Республики Казахстан "О государственных услугах"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Председателя Агентство РК по делам государственной службы от 01.11.2021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02.11.2021 № 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bookmarkStart w:name="z82" w:id="7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внеплановой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отчета о завершении публичного обсуждения проектов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 в части учета замечаний и предложений физических и юридических лиц, права, свободы и законные интересы которых затрагиваются в подзаконных нормативных правовых актах, определяющих порядок оказания государственных услуг, полученных в ходе публичного обсуждения, подлежащего размещению на веб-портале "электронного правительства", интернет-ресурсе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центральным государственным органом порядка разработки и утверждения, а также изменения, дополнения и отмены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 в обязательном порядке подлежащих публичному обсуждению в течение десяти рабочих дней со дня их размещения для публичного обсуждения на веб-портале "электронного правительства" и интернет-ресурсе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центральным государственным органом двухмесячного срока разработки и утверждения подзаконных нормативных правовых актов, определяющих порядок оказания государственных услуг, утверждаемых согласно подпункту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 со дня утверждения реестра государственных услуг или внесения изменений и (или) дополнений в 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актуализации информации о порядке оказания государственных услуг на веб-портале "электронного правительства", интернет-ресурсе государственного органа и соблюдение требования к направлению в Единый контакт-центр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запросу о стадии исполнения государственной услуги, а также предоставление услугополучателям полной и достоверной информации о порядке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(сертификаты, дипломы и другое) по повышению квалификации работников в сфере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необходимых документов и образцов форм их заполнения для оказания государственных услуг в местах нахождения услугодателей и в отделах по обслуживанию населения филиалов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оплаты при оказании государственной услуги, которая предоставляется на бесплатной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излишних документов от услугополучателей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оказания государственной услуги при неполном пакете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графика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порядка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Обоснованный отказ в оказании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информированию услугополучателей о результатах рассмотрения жалобы, подлежащей к рассмотрению в течение пяти рабочих дней со дня ее регистрации, а также полноты удовлетворения жалобы 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подтверждающими сведения, указанные в отчетной форме о работе по внутреннему контролю за качеством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реже одного раза в год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лиц, подлежащих ежегодному размещению на веб-портале "электронного правительства", интернет-ресурсах и других средствах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 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