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1134" w14:textId="b171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w:t>
      </w:r>
    </w:p>
    <w:p>
      <w:pPr>
        <w:spacing w:after="0"/>
        <w:ind w:left="0"/>
        <w:jc w:val="both"/>
      </w:pPr>
      <w:r>
        <w:rPr>
          <w:rFonts w:ascii="Times New Roman"/>
          <w:b w:val="false"/>
          <w:i w:val="false"/>
          <w:color w:val="000000"/>
          <w:sz w:val="28"/>
        </w:rPr>
        <w:t>Приказ Министра финансов Республики Казахстан от 2 октября 2018 года № 873. Зарегистрирован в Министерстве юстиции Республики Казахстан 5 ноября 2018 года № 17690.</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процедурный стандарт</w:t>
      </w:r>
      <w:r>
        <w:rPr>
          <w:rFonts w:ascii="Times New Roman"/>
          <w:b w:val="false"/>
          <w:i w:val="false"/>
          <w:color w:val="000000"/>
          <w:sz w:val="28"/>
        </w:rPr>
        <w:t xml:space="preserve"> внутреннего государственного аудита и финансового контроля по проведению аудита эффективности службами внутреннего аудита.</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Председатель Счетного комитета</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p>
      <w:pPr>
        <w:spacing w:after="0"/>
        <w:ind w:left="0"/>
        <w:jc w:val="both"/>
      </w:pPr>
      <w:r>
        <w:rPr>
          <w:rFonts w:ascii="Times New Roman"/>
          <w:b w:val="false"/>
          <w:i w:val="false"/>
          <w:color w:val="000000"/>
          <w:sz w:val="28"/>
        </w:rPr>
        <w:t>____________ Н. Годунова</w:t>
      </w:r>
    </w:p>
    <w:p>
      <w:pPr>
        <w:spacing w:after="0"/>
        <w:ind w:left="0"/>
        <w:jc w:val="both"/>
      </w:pPr>
      <w:r>
        <w:rPr>
          <w:rFonts w:ascii="Times New Roman"/>
          <w:b w:val="false"/>
          <w:i w:val="false"/>
          <w:color w:val="000000"/>
          <w:sz w:val="28"/>
        </w:rPr>
        <w:t>"____" 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2018 года № 873</w:t>
            </w:r>
          </w:p>
        </w:tc>
      </w:tr>
    </w:tbl>
    <w:bookmarkStart w:name="z15" w:id="9"/>
    <w:p>
      <w:pPr>
        <w:spacing w:after="0"/>
        <w:ind w:left="0"/>
        <w:jc w:val="left"/>
      </w:pPr>
      <w:r>
        <w:rPr>
          <w:rFonts w:ascii="Times New Roman"/>
          <w:b/>
          <w:i w:val="false"/>
          <w:color w:val="000000"/>
        </w:rPr>
        <w:t xml:space="preserve"> Процедурный стандарт внутреннего государственного аудита и финансового контроля по проведению аудита эффективности службами внутреннего аудита</w:t>
      </w:r>
    </w:p>
    <w:bookmarkEnd w:id="9"/>
    <w:bookmarkStart w:name="z16" w:id="10"/>
    <w:p>
      <w:pPr>
        <w:spacing w:after="0"/>
        <w:ind w:left="0"/>
        <w:jc w:val="left"/>
      </w:pPr>
      <w:r>
        <w:rPr>
          <w:rFonts w:ascii="Times New Roman"/>
          <w:b/>
          <w:i w:val="false"/>
          <w:color w:val="000000"/>
        </w:rPr>
        <w:t xml:space="preserve"> Раздел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процедурный стандарт внутреннего государственного аудита и финансового контроля по проведению аудита эффективности службами внутреннего аудита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Целью аудита эффективности, проводимого службами внутреннего аудита (далее – СВА), является формирование независимой, компетентной и объективной оценки направлений деятельности объекта государственного аудита и формирование рекомендаций для:</w:t>
      </w:r>
    </w:p>
    <w:bookmarkEnd w:id="12"/>
    <w:bookmarkStart w:name="z19" w:id="13"/>
    <w:p>
      <w:pPr>
        <w:spacing w:after="0"/>
        <w:ind w:left="0"/>
        <w:jc w:val="both"/>
      </w:pPr>
      <w:r>
        <w:rPr>
          <w:rFonts w:ascii="Times New Roman"/>
          <w:b w:val="false"/>
          <w:i w:val="false"/>
          <w:color w:val="000000"/>
          <w:sz w:val="28"/>
        </w:rPr>
        <w:t>
      оказания содействия объекту государственного аудита, государственным органам, а также другим получателям бюджетных средств, которые вовлечены в управление и администрирование деятельности данного объекта государственного аудита и (или) направления государственного аудита, в преодолении существующих и (или) потенциальных системных проблем, недостатков и нарушений;</w:t>
      </w:r>
    </w:p>
    <w:bookmarkEnd w:id="13"/>
    <w:bookmarkStart w:name="z20" w:id="14"/>
    <w:p>
      <w:pPr>
        <w:spacing w:after="0"/>
        <w:ind w:left="0"/>
        <w:jc w:val="both"/>
      </w:pPr>
      <w:r>
        <w:rPr>
          <w:rFonts w:ascii="Times New Roman"/>
          <w:b w:val="false"/>
          <w:i w:val="false"/>
          <w:color w:val="000000"/>
          <w:sz w:val="28"/>
        </w:rPr>
        <w:t>
      повышения эффективности, усиления прозрачности и подотчетности управления и администрирования деятельности объекта государственного аудита и (или) в соответствующем направлении государственного аудита.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3. Для целей настоящих Стандартов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рабочие документы – документы, отражающие результаты выполненных аудиторских процедур, а также полученных аудиторских доказательств и выводов, сделанных государственным аудитором;</w:t>
      </w:r>
    </w:p>
    <w:bookmarkEnd w:id="16"/>
    <w:bookmarkStart w:name="z23" w:id="17"/>
    <w:p>
      <w:pPr>
        <w:spacing w:after="0"/>
        <w:ind w:left="0"/>
        <w:jc w:val="both"/>
      </w:pPr>
      <w:r>
        <w:rPr>
          <w:rFonts w:ascii="Times New Roman"/>
          <w:b w:val="false"/>
          <w:i w:val="false"/>
          <w:color w:val="000000"/>
          <w:sz w:val="28"/>
        </w:rPr>
        <w:t>
      2) продуктивность использования финансовых и материальных средств – соотношение между результатами деятельности объекта аудита эффективности и использованными на их производство материальными и финансовыми средствами;</w:t>
      </w:r>
    </w:p>
    <w:bookmarkEnd w:id="17"/>
    <w:bookmarkStart w:name="z24" w:id="18"/>
    <w:p>
      <w:pPr>
        <w:spacing w:after="0"/>
        <w:ind w:left="0"/>
        <w:jc w:val="both"/>
      </w:pPr>
      <w:r>
        <w:rPr>
          <w:rFonts w:ascii="Times New Roman"/>
          <w:b w:val="false"/>
          <w:i w:val="false"/>
          <w:color w:val="000000"/>
          <w:sz w:val="28"/>
        </w:rPr>
        <w:t>
      3) результативность использования финансовых и материальных средств – степень соответствия результатов деятельности объектов аудита эффективности запланированным результатам;</w:t>
      </w:r>
    </w:p>
    <w:bookmarkEnd w:id="18"/>
    <w:bookmarkStart w:name="z25" w:id="19"/>
    <w:p>
      <w:pPr>
        <w:spacing w:after="0"/>
        <w:ind w:left="0"/>
        <w:jc w:val="both"/>
      </w:pPr>
      <w:r>
        <w:rPr>
          <w:rFonts w:ascii="Times New Roman"/>
          <w:b w:val="false"/>
          <w:i w:val="false"/>
          <w:color w:val="000000"/>
          <w:sz w:val="28"/>
        </w:rPr>
        <w:t>
      4) эксперт – физическое или юридическое лицо, обладающее специальными познаниями в области государственного аудита, и (или) деятельности объекта государственного аудита;</w:t>
      </w:r>
    </w:p>
    <w:bookmarkEnd w:id="19"/>
    <w:bookmarkStart w:name="z26" w:id="20"/>
    <w:p>
      <w:pPr>
        <w:spacing w:after="0"/>
        <w:ind w:left="0"/>
        <w:jc w:val="both"/>
      </w:pPr>
      <w:r>
        <w:rPr>
          <w:rFonts w:ascii="Times New Roman"/>
          <w:b w:val="false"/>
          <w:i w:val="false"/>
          <w:color w:val="000000"/>
          <w:sz w:val="28"/>
        </w:rPr>
        <w:t>
      5) экономичность использования государственного имущества, находящегося в государственной собственности – достижение объектом аудита эффективности заданных результатов с использованием наименьшего объема средств бюджета и имущества, находящегося в государственной собственности;</w:t>
      </w:r>
    </w:p>
    <w:bookmarkEnd w:id="20"/>
    <w:bookmarkStart w:name="z27" w:id="21"/>
    <w:p>
      <w:pPr>
        <w:spacing w:after="0"/>
        <w:ind w:left="0"/>
        <w:jc w:val="both"/>
      </w:pPr>
      <w:r>
        <w:rPr>
          <w:rFonts w:ascii="Times New Roman"/>
          <w:b w:val="false"/>
          <w:i w:val="false"/>
          <w:color w:val="000000"/>
          <w:sz w:val="28"/>
        </w:rPr>
        <w:t>
      6) риск – вероятность негативного влияния на объект аудита эффективности какого-либо фактора (действия или события), которые могут привести к финансовым убыткам, нанесению ущерба, неспособности реализовать возложенную функцию или программу и обеспечить при этом эффективное использование финансовых и материальных средств;</w:t>
      </w:r>
    </w:p>
    <w:bookmarkEnd w:id="21"/>
    <w:bookmarkStart w:name="z28" w:id="22"/>
    <w:p>
      <w:pPr>
        <w:spacing w:after="0"/>
        <w:ind w:left="0"/>
        <w:jc w:val="both"/>
      </w:pPr>
      <w:r>
        <w:rPr>
          <w:rFonts w:ascii="Times New Roman"/>
          <w:b w:val="false"/>
          <w:i w:val="false"/>
          <w:color w:val="000000"/>
          <w:sz w:val="28"/>
        </w:rPr>
        <w:t>
      7) эффективность – соотношение полученных результатов к запланированным с учетом использованных для их достижения ресурсов;</w:t>
      </w:r>
    </w:p>
    <w:bookmarkEnd w:id="22"/>
    <w:bookmarkStart w:name="z29" w:id="23"/>
    <w:p>
      <w:pPr>
        <w:spacing w:after="0"/>
        <w:ind w:left="0"/>
        <w:jc w:val="both"/>
      </w:pPr>
      <w:r>
        <w:rPr>
          <w:rFonts w:ascii="Times New Roman"/>
          <w:b w:val="false"/>
          <w:i w:val="false"/>
          <w:color w:val="000000"/>
          <w:sz w:val="28"/>
        </w:rPr>
        <w:t>
      8) показатели аудита эффективности – абсолютные, качественные, количественные, относительные или динамические показатели, являющиеся критерием для оценки достижения поставленных целей или запланированных результатов с точки зрения эффективности, экономичности, продуктивности и результативности;</w:t>
      </w:r>
    </w:p>
    <w:bookmarkEnd w:id="23"/>
    <w:bookmarkStart w:name="z30" w:id="24"/>
    <w:p>
      <w:pPr>
        <w:spacing w:after="0"/>
        <w:ind w:left="0"/>
        <w:jc w:val="both"/>
      </w:pPr>
      <w:r>
        <w:rPr>
          <w:rFonts w:ascii="Times New Roman"/>
          <w:b w:val="false"/>
          <w:i w:val="false"/>
          <w:color w:val="000000"/>
          <w:sz w:val="28"/>
        </w:rPr>
        <w:t>
      9) система внутреннего контроля – совокупность политики, процессов и процедур, норм поведения и действий объекта аудита эффективности для того, чтобы обеспечить эффективную деятельность, позволяющую соответствующим образом реагировать на существенные риски в части достижения целей, поставленных перед объектом аудита эффективности, а также возложенных на него задач с точки зрения эффективности, экономичности, продуктивности и результативности деятельности объекта государственного аудита.</w:t>
      </w:r>
    </w:p>
    <w:bookmarkEnd w:id="24"/>
    <w:bookmarkStart w:name="z31" w:id="25"/>
    <w:p>
      <w:pPr>
        <w:spacing w:after="0"/>
        <w:ind w:left="0"/>
        <w:jc w:val="both"/>
      </w:pPr>
      <w:r>
        <w:rPr>
          <w:rFonts w:ascii="Times New Roman"/>
          <w:b w:val="false"/>
          <w:i w:val="false"/>
          <w:color w:val="000000"/>
          <w:sz w:val="28"/>
        </w:rPr>
        <w:t xml:space="preserve">
      Другие понятия, используемые в настоящем Стандарте, применяются в значениях, определяемых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4. Аудиту эффективности подлежат все направления деятельности:</w:t>
      </w:r>
    </w:p>
    <w:bookmarkEnd w:id="26"/>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городов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07.10.2024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5. Государственные аудиторы осуществляют эффективные коммуникации на протяжении всего процесса проведения государственного аудита с должностными лицами, ответственными за проведение аудиторского мероприятия.</w:t>
      </w:r>
    </w:p>
    <w:bookmarkEnd w:id="27"/>
    <w:bookmarkStart w:name="z36" w:id="28"/>
    <w:p>
      <w:pPr>
        <w:spacing w:after="0"/>
        <w:ind w:left="0"/>
        <w:jc w:val="both"/>
      </w:pPr>
      <w:r>
        <w:rPr>
          <w:rFonts w:ascii="Times New Roman"/>
          <w:b w:val="false"/>
          <w:i w:val="false"/>
          <w:color w:val="000000"/>
          <w:sz w:val="28"/>
        </w:rPr>
        <w:t>
      6. Настоящий Стандарт определяет последовательность действий государственного аудитора в процессе проведения аудита эффективности и распространяется на должностных лиц СВА, ассистентов государственного аудитора, физических и юридических лиц, привлеченных к проведению государственного аудита.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7. Аудит эффективности проводится с применением горизонтального или вертикального подхода.</w:t>
      </w:r>
    </w:p>
    <w:bookmarkEnd w:id="29"/>
    <w:bookmarkStart w:name="z38" w:id="30"/>
    <w:p>
      <w:pPr>
        <w:spacing w:after="0"/>
        <w:ind w:left="0"/>
        <w:jc w:val="both"/>
      </w:pPr>
      <w:r>
        <w:rPr>
          <w:rFonts w:ascii="Times New Roman"/>
          <w:b w:val="false"/>
          <w:i w:val="false"/>
          <w:color w:val="000000"/>
          <w:sz w:val="28"/>
        </w:rPr>
        <w:t>
      Горизонтальный подход предполагает проведение аудиторских мероприятий на нескольких объектах государственного аудита, которые принадлежат одному уровню государственного управления или финансируемых из бюджета одного уровня.</w:t>
      </w:r>
    </w:p>
    <w:bookmarkEnd w:id="30"/>
    <w:bookmarkStart w:name="z39" w:id="31"/>
    <w:p>
      <w:pPr>
        <w:spacing w:after="0"/>
        <w:ind w:left="0"/>
        <w:jc w:val="both"/>
      </w:pPr>
      <w:r>
        <w:rPr>
          <w:rFonts w:ascii="Times New Roman"/>
          <w:b w:val="false"/>
          <w:i w:val="false"/>
          <w:color w:val="000000"/>
          <w:sz w:val="28"/>
        </w:rPr>
        <w:t>
      Вертикальный подход предполагает проведение аудиторских мероприятий на нескольких объектах государственного аудита, которые принадлежат разным уровням государственного управления или финансируемых из бюджетов разных уровней.</w:t>
      </w:r>
    </w:p>
    <w:bookmarkEnd w:id="31"/>
    <w:bookmarkStart w:name="z40" w:id="32"/>
    <w:p>
      <w:pPr>
        <w:spacing w:after="0"/>
        <w:ind w:left="0"/>
        <w:jc w:val="both"/>
      </w:pPr>
      <w:r>
        <w:rPr>
          <w:rFonts w:ascii="Times New Roman"/>
          <w:b w:val="false"/>
          <w:i w:val="false"/>
          <w:color w:val="000000"/>
          <w:sz w:val="28"/>
        </w:rPr>
        <w:t>
      8. Отбор объектов аудита эффективности или отдельного направления его деятельности осуществляется на основе анализа исполнения плана развития государственного органа и программ развития территорий во взаимосвязи с бюджетными расходами и результатов оценки эффективности по направлениям деятельности государственного органа, проведенной за предыдущие годы, анализа результатов оценки корпоративного управления, управления государственным имуществом, исполнения показателей операционного плана, бюджетных программ, поручений руководителя государственного органа или акима области, городов республиканского значения, столицы, обращений юридических и физических лиц, и иных сведений.</w:t>
      </w:r>
    </w:p>
    <w:bookmarkEnd w:id="32"/>
    <w:p>
      <w:pPr>
        <w:spacing w:after="0"/>
        <w:ind w:left="0"/>
        <w:jc w:val="both"/>
      </w:pPr>
      <w:r>
        <w:rPr>
          <w:rFonts w:ascii="Times New Roman"/>
          <w:b w:val="false"/>
          <w:i w:val="false"/>
          <w:color w:val="000000"/>
          <w:sz w:val="28"/>
        </w:rPr>
        <w:t>
      СВА проводят функциональный анализ исполнения объектом государственного аудита своих функций, целей и задач, поставленных на обозначенный ожидаемый период, видов уставной деятельности (для субъектов квазигосударственного сектора), их эффективность и результативность.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9. При проведении аудита эффективности соблюдаются этапы,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внутреннего государственного аудита и финансового контроля службами внутреннего аудита (далее – Правила проведения внутреннего государственного аудита), утвержденными приказом Министра финансов Республики Казахстан от 19 марта 2018 года № 392 (зарегистрирован в Реестре государственной регистрации нормативных правовых актов под № 16689).</w:t>
      </w:r>
    </w:p>
    <w:bookmarkEnd w:id="33"/>
    <w:bookmarkStart w:name="z47" w:id="34"/>
    <w:p>
      <w:pPr>
        <w:spacing w:after="0"/>
        <w:ind w:left="0"/>
        <w:jc w:val="both"/>
      </w:pPr>
      <w:r>
        <w:rPr>
          <w:rFonts w:ascii="Times New Roman"/>
          <w:b w:val="false"/>
          <w:i w:val="false"/>
          <w:color w:val="000000"/>
          <w:sz w:val="28"/>
        </w:rPr>
        <w:t>
      10. Рабочие документы служат источником информации и доказательством результатов выполненной работы государственного аудитора.</w:t>
      </w:r>
    </w:p>
    <w:bookmarkEnd w:id="34"/>
    <w:bookmarkStart w:name="z48" w:id="35"/>
    <w:p>
      <w:pPr>
        <w:spacing w:after="0"/>
        <w:ind w:left="0"/>
        <w:jc w:val="left"/>
      </w:pPr>
      <w:r>
        <w:rPr>
          <w:rFonts w:ascii="Times New Roman"/>
          <w:b/>
          <w:i w:val="false"/>
          <w:color w:val="000000"/>
        </w:rPr>
        <w:t xml:space="preserve"> Раздел 2. Организация проведения аудита эффективности</w:t>
      </w:r>
    </w:p>
    <w:bookmarkEnd w:id="35"/>
    <w:bookmarkStart w:name="z49" w:id="36"/>
    <w:p>
      <w:pPr>
        <w:spacing w:after="0"/>
        <w:ind w:left="0"/>
        <w:jc w:val="left"/>
      </w:pPr>
      <w:r>
        <w:rPr>
          <w:rFonts w:ascii="Times New Roman"/>
          <w:b/>
          <w:i w:val="false"/>
          <w:color w:val="000000"/>
        </w:rPr>
        <w:t xml:space="preserve"> Глава 1. Предварительное изучение и планирование аудита эффективности</w:t>
      </w:r>
    </w:p>
    <w:bookmarkEnd w:id="36"/>
    <w:bookmarkStart w:name="z50" w:id="37"/>
    <w:p>
      <w:pPr>
        <w:spacing w:after="0"/>
        <w:ind w:left="0"/>
        <w:jc w:val="both"/>
      </w:pPr>
      <w:r>
        <w:rPr>
          <w:rFonts w:ascii="Times New Roman"/>
          <w:b w:val="false"/>
          <w:i w:val="false"/>
          <w:color w:val="000000"/>
          <w:sz w:val="28"/>
        </w:rPr>
        <w:t>
      11. На этапе предварительного изучения группа государственного аудита изучает (оценивает):</w:t>
      </w:r>
    </w:p>
    <w:bookmarkEnd w:id="37"/>
    <w:bookmarkStart w:name="z51" w:id="38"/>
    <w:p>
      <w:pPr>
        <w:spacing w:after="0"/>
        <w:ind w:left="0"/>
        <w:jc w:val="both"/>
      </w:pPr>
      <w:r>
        <w:rPr>
          <w:rFonts w:ascii="Times New Roman"/>
          <w:b w:val="false"/>
          <w:i w:val="false"/>
          <w:color w:val="000000"/>
          <w:sz w:val="28"/>
        </w:rPr>
        <w:t>
      1) нормативные правовые акты, регулирующие предмет государственного аудита или деятельность объекта государственного аудита;</w:t>
      </w:r>
    </w:p>
    <w:bookmarkEnd w:id="38"/>
    <w:bookmarkStart w:name="z52" w:id="39"/>
    <w:p>
      <w:pPr>
        <w:spacing w:after="0"/>
        <w:ind w:left="0"/>
        <w:jc w:val="both"/>
      </w:pPr>
      <w:r>
        <w:rPr>
          <w:rFonts w:ascii="Times New Roman"/>
          <w:b w:val="false"/>
          <w:i w:val="false"/>
          <w:color w:val="000000"/>
          <w:sz w:val="28"/>
        </w:rPr>
        <w:t>
      2) план развития государственного органа, программа развития территорий, результаты оценки эффективности по направлениям деятельности государственного органа, исполнение показателей операционного плана, бюджетных программ, а также иные сведения;</w:t>
      </w:r>
    </w:p>
    <w:bookmarkEnd w:id="39"/>
    <w:bookmarkStart w:name="z53" w:id="40"/>
    <w:p>
      <w:pPr>
        <w:spacing w:after="0"/>
        <w:ind w:left="0"/>
        <w:jc w:val="both"/>
      </w:pPr>
      <w:r>
        <w:rPr>
          <w:rFonts w:ascii="Times New Roman"/>
          <w:b w:val="false"/>
          <w:i w:val="false"/>
          <w:color w:val="000000"/>
          <w:sz w:val="28"/>
        </w:rPr>
        <w:t>
      3) цели, задачи и политику, применяемые по предмету государственного аудита или в деятельности объекта государственного аудита;</w:t>
      </w:r>
    </w:p>
    <w:bookmarkEnd w:id="40"/>
    <w:bookmarkStart w:name="z54" w:id="41"/>
    <w:p>
      <w:pPr>
        <w:spacing w:after="0"/>
        <w:ind w:left="0"/>
        <w:jc w:val="both"/>
      </w:pPr>
      <w:r>
        <w:rPr>
          <w:rFonts w:ascii="Times New Roman"/>
          <w:b w:val="false"/>
          <w:i w:val="false"/>
          <w:color w:val="000000"/>
          <w:sz w:val="28"/>
        </w:rPr>
        <w:t>
      4) бизнес-процессы, организационную структуру, внутреннюю и внешнюю среду функционирования по предмету государственного аудита или в деятельности объекта государственного аудита;</w:t>
      </w:r>
    </w:p>
    <w:bookmarkEnd w:id="41"/>
    <w:bookmarkStart w:name="z55" w:id="42"/>
    <w:p>
      <w:pPr>
        <w:spacing w:after="0"/>
        <w:ind w:left="0"/>
        <w:jc w:val="both"/>
      </w:pPr>
      <w:r>
        <w:rPr>
          <w:rFonts w:ascii="Times New Roman"/>
          <w:b w:val="false"/>
          <w:i w:val="false"/>
          <w:color w:val="000000"/>
          <w:sz w:val="28"/>
        </w:rPr>
        <w:t>
      5) внутренние системы управления по предмету государственного аудита или в объекте государственного аудита, включая информационные системы и системы внутреннего контроля и аудита;</w:t>
      </w:r>
    </w:p>
    <w:bookmarkEnd w:id="42"/>
    <w:bookmarkStart w:name="z56" w:id="43"/>
    <w:p>
      <w:pPr>
        <w:spacing w:after="0"/>
        <w:ind w:left="0"/>
        <w:jc w:val="both"/>
      </w:pPr>
      <w:r>
        <w:rPr>
          <w:rFonts w:ascii="Times New Roman"/>
          <w:b w:val="false"/>
          <w:i w:val="false"/>
          <w:color w:val="000000"/>
          <w:sz w:val="28"/>
        </w:rPr>
        <w:t>
      6) систему отчетности, применяемую по предмету государственного аудита или объектом государственного аудита;</w:t>
      </w:r>
    </w:p>
    <w:bookmarkEnd w:id="43"/>
    <w:bookmarkStart w:name="z57" w:id="44"/>
    <w:p>
      <w:pPr>
        <w:spacing w:after="0"/>
        <w:ind w:left="0"/>
        <w:jc w:val="both"/>
      </w:pPr>
      <w:r>
        <w:rPr>
          <w:rFonts w:ascii="Times New Roman"/>
          <w:b w:val="false"/>
          <w:i w:val="false"/>
          <w:color w:val="000000"/>
          <w:sz w:val="28"/>
        </w:rPr>
        <w:t>
      7) при наличии результаты предыдущего государственного аудита, проведенного органами внешнего и внутреннего государственного аудита, а также результаты контроля (надзора), проведенного органами контроля и надзора, принятые объектом государственного аудита меры;</w:t>
      </w:r>
    </w:p>
    <w:bookmarkEnd w:id="44"/>
    <w:bookmarkStart w:name="z58" w:id="45"/>
    <w:p>
      <w:pPr>
        <w:spacing w:after="0"/>
        <w:ind w:left="0"/>
        <w:jc w:val="both"/>
      </w:pPr>
      <w:r>
        <w:rPr>
          <w:rFonts w:ascii="Times New Roman"/>
          <w:b w:val="false"/>
          <w:i w:val="false"/>
          <w:color w:val="000000"/>
          <w:sz w:val="28"/>
        </w:rPr>
        <w:t>
      8)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государственного аудита);</w:t>
      </w:r>
    </w:p>
    <w:bookmarkEnd w:id="45"/>
    <w:bookmarkStart w:name="z59" w:id="46"/>
    <w:p>
      <w:pPr>
        <w:spacing w:after="0"/>
        <w:ind w:left="0"/>
        <w:jc w:val="both"/>
      </w:pPr>
      <w:r>
        <w:rPr>
          <w:rFonts w:ascii="Times New Roman"/>
          <w:b w:val="false"/>
          <w:i w:val="false"/>
          <w:color w:val="000000"/>
          <w:sz w:val="28"/>
        </w:rPr>
        <w:t>
      9) доступность первичной информации и другие ограничения, связанные с проведением аудиторских процедур на последующих этапах аудита эффективности.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12. В целях обеспечения качества аудита эффективности проводится анализ и оценка функционирования системы и средств внутреннего контроля объекта государственного аудита в разрезе взаимосвязанных компонентов, определенных </w:t>
      </w:r>
      <w:r>
        <w:rPr>
          <w:rFonts w:ascii="Times New Roman"/>
          <w:b w:val="false"/>
          <w:i w:val="false"/>
          <w:color w:val="000000"/>
          <w:sz w:val="28"/>
        </w:rPr>
        <w:t>статьей 57</w:t>
      </w:r>
      <w:r>
        <w:rPr>
          <w:rFonts w:ascii="Times New Roman"/>
          <w:b w:val="false"/>
          <w:i w:val="false"/>
          <w:color w:val="000000"/>
          <w:sz w:val="28"/>
        </w:rPr>
        <w:t xml:space="preserve"> Закона.</w:t>
      </w:r>
    </w:p>
    <w:bookmarkEnd w:id="47"/>
    <w:bookmarkStart w:name="z61" w:id="48"/>
    <w:p>
      <w:pPr>
        <w:spacing w:after="0"/>
        <w:ind w:left="0"/>
        <w:jc w:val="both"/>
      </w:pPr>
      <w:r>
        <w:rPr>
          <w:rFonts w:ascii="Times New Roman"/>
          <w:b w:val="false"/>
          <w:i w:val="false"/>
          <w:color w:val="000000"/>
          <w:sz w:val="28"/>
        </w:rPr>
        <w:t>
      Для отбора объектов аудита эффективности или отдельного направления его деятельности применяется риск-ориентированный подход с проведением анализа и оценки рисков, связанных с достижением целей организации и определением надлежащих ответных мер, где учитываются следующие критерии:</w:t>
      </w:r>
    </w:p>
    <w:bookmarkEnd w:id="48"/>
    <w:bookmarkStart w:name="z62" w:id="49"/>
    <w:p>
      <w:pPr>
        <w:spacing w:after="0"/>
        <w:ind w:left="0"/>
        <w:jc w:val="both"/>
      </w:pPr>
      <w:r>
        <w:rPr>
          <w:rFonts w:ascii="Times New Roman"/>
          <w:b w:val="false"/>
          <w:i w:val="false"/>
          <w:color w:val="000000"/>
          <w:sz w:val="28"/>
        </w:rPr>
        <w:t>
      1) универсальные риски;</w:t>
      </w:r>
    </w:p>
    <w:bookmarkEnd w:id="49"/>
    <w:bookmarkStart w:name="z63" w:id="50"/>
    <w:p>
      <w:pPr>
        <w:spacing w:after="0"/>
        <w:ind w:left="0"/>
        <w:jc w:val="both"/>
      </w:pPr>
      <w:r>
        <w:rPr>
          <w:rFonts w:ascii="Times New Roman"/>
          <w:b w:val="false"/>
          <w:i w:val="false"/>
          <w:color w:val="000000"/>
          <w:sz w:val="28"/>
        </w:rPr>
        <w:t>
      2) риски, связанные с внешними и внутренними факторами, как на уровне организации, так и на уровне деятельности;</w:t>
      </w:r>
    </w:p>
    <w:bookmarkEnd w:id="50"/>
    <w:bookmarkStart w:name="z64" w:id="51"/>
    <w:p>
      <w:pPr>
        <w:spacing w:after="0"/>
        <w:ind w:left="0"/>
        <w:jc w:val="both"/>
      </w:pPr>
      <w:r>
        <w:rPr>
          <w:rFonts w:ascii="Times New Roman"/>
          <w:b w:val="false"/>
          <w:i w:val="false"/>
          <w:color w:val="000000"/>
          <w:sz w:val="28"/>
        </w:rPr>
        <w:t>
      3) оценка значимости риска;</w:t>
      </w:r>
    </w:p>
    <w:bookmarkEnd w:id="51"/>
    <w:bookmarkStart w:name="z65" w:id="52"/>
    <w:p>
      <w:pPr>
        <w:spacing w:after="0"/>
        <w:ind w:left="0"/>
        <w:jc w:val="both"/>
      </w:pPr>
      <w:r>
        <w:rPr>
          <w:rFonts w:ascii="Times New Roman"/>
          <w:b w:val="false"/>
          <w:i w:val="false"/>
          <w:color w:val="000000"/>
          <w:sz w:val="28"/>
        </w:rPr>
        <w:t>
      4) оценка вероятности возникновения риска;</w:t>
      </w:r>
    </w:p>
    <w:bookmarkEnd w:id="52"/>
    <w:bookmarkStart w:name="z66" w:id="53"/>
    <w:p>
      <w:pPr>
        <w:spacing w:after="0"/>
        <w:ind w:left="0"/>
        <w:jc w:val="both"/>
      </w:pPr>
      <w:r>
        <w:rPr>
          <w:rFonts w:ascii="Times New Roman"/>
          <w:b w:val="false"/>
          <w:i w:val="false"/>
          <w:color w:val="000000"/>
          <w:sz w:val="28"/>
        </w:rPr>
        <w:t>
      5) оценка готовности организации к принятию риска;</w:t>
      </w:r>
    </w:p>
    <w:bookmarkEnd w:id="53"/>
    <w:bookmarkStart w:name="z67" w:id="54"/>
    <w:p>
      <w:pPr>
        <w:spacing w:after="0"/>
        <w:ind w:left="0"/>
        <w:jc w:val="both"/>
      </w:pPr>
      <w:r>
        <w:rPr>
          <w:rFonts w:ascii="Times New Roman"/>
          <w:b w:val="false"/>
          <w:i w:val="false"/>
          <w:color w:val="000000"/>
          <w:sz w:val="28"/>
        </w:rPr>
        <w:t>
      6) разработка действий по реагированию на риски;</w:t>
      </w:r>
    </w:p>
    <w:bookmarkEnd w:id="54"/>
    <w:bookmarkStart w:name="z68" w:id="55"/>
    <w:p>
      <w:pPr>
        <w:spacing w:after="0"/>
        <w:ind w:left="0"/>
        <w:jc w:val="both"/>
      </w:pPr>
      <w:r>
        <w:rPr>
          <w:rFonts w:ascii="Times New Roman"/>
          <w:b w:val="false"/>
          <w:i w:val="false"/>
          <w:color w:val="000000"/>
          <w:sz w:val="28"/>
        </w:rPr>
        <w:t>
      7) наличие выявляющих либо предотвращающих средств контроля;</w:t>
      </w:r>
    </w:p>
    <w:bookmarkEnd w:id="55"/>
    <w:bookmarkStart w:name="z69" w:id="56"/>
    <w:p>
      <w:pPr>
        <w:spacing w:after="0"/>
        <w:ind w:left="0"/>
        <w:jc w:val="both"/>
      </w:pPr>
      <w:r>
        <w:rPr>
          <w:rFonts w:ascii="Times New Roman"/>
          <w:b w:val="false"/>
          <w:i w:val="false"/>
          <w:color w:val="000000"/>
          <w:sz w:val="28"/>
        </w:rPr>
        <w:t>
      8) дополнительные критерии государственного аудита и финансового контроля, определяемые государственным аудитором по предмету аудита эффективности.</w:t>
      </w:r>
    </w:p>
    <w:bookmarkEnd w:id="56"/>
    <w:bookmarkStart w:name="z70" w:id="57"/>
    <w:p>
      <w:pPr>
        <w:spacing w:after="0"/>
        <w:ind w:left="0"/>
        <w:jc w:val="both"/>
      </w:pPr>
      <w:r>
        <w:rPr>
          <w:rFonts w:ascii="Times New Roman"/>
          <w:b w:val="false"/>
          <w:i w:val="false"/>
          <w:color w:val="000000"/>
          <w:sz w:val="28"/>
        </w:rPr>
        <w:t>
      13. На основании предварительного изучения, анализа и оценки информации по предмету государственного аудита или о деятельности объекта государственного аудита определяются цели, показатели, вопросы аудита эффективности, подходы и методы проведения аудита эффективности, оцениваются аудиторские риски и способы управления данными рисками.</w:t>
      </w:r>
    </w:p>
    <w:bookmarkEnd w:id="57"/>
    <w:bookmarkStart w:name="z71" w:id="58"/>
    <w:p>
      <w:pPr>
        <w:spacing w:after="0"/>
        <w:ind w:left="0"/>
        <w:jc w:val="both"/>
      </w:pPr>
      <w:r>
        <w:rPr>
          <w:rFonts w:ascii="Times New Roman"/>
          <w:b w:val="false"/>
          <w:i w:val="false"/>
          <w:color w:val="000000"/>
          <w:sz w:val="28"/>
        </w:rPr>
        <w:t>
      14. Руководителем группы государственного аудита на основе данных предварительного изучения объекта государственного аудита разрабатывается план проведения внутреннего государственного аудита (далее – план аудита), содержащий срок проведения аудиторского мероприятия, необходимые ресурсы, объекты государственного аудита и маршруты следования.</w:t>
      </w:r>
    </w:p>
    <w:bookmarkEnd w:id="58"/>
    <w:bookmarkStart w:name="z72" w:id="59"/>
    <w:p>
      <w:pPr>
        <w:spacing w:after="0"/>
        <w:ind w:left="0"/>
        <w:jc w:val="both"/>
      </w:pPr>
      <w:r>
        <w:rPr>
          <w:rFonts w:ascii="Times New Roman"/>
          <w:b w:val="false"/>
          <w:i w:val="false"/>
          <w:color w:val="000000"/>
          <w:sz w:val="28"/>
        </w:rPr>
        <w:t>
      Характер и масштаб работ по планированию аудита эффективности зависит от размера и сложности организационной структуры объекта государственного аудита, целей государственного аудита, понимания особенностей деятельности объекта государственного аудита.</w:t>
      </w:r>
    </w:p>
    <w:bookmarkEnd w:id="59"/>
    <w:bookmarkStart w:name="z73" w:id="60"/>
    <w:p>
      <w:pPr>
        <w:spacing w:after="0"/>
        <w:ind w:left="0"/>
        <w:jc w:val="both"/>
      </w:pPr>
      <w:r>
        <w:rPr>
          <w:rFonts w:ascii="Times New Roman"/>
          <w:b w:val="false"/>
          <w:i w:val="false"/>
          <w:color w:val="000000"/>
          <w:sz w:val="28"/>
        </w:rPr>
        <w:t>
      Аудит эффективности осуществляется работниками СВА, уровень профессиональных знаний, навыки и опыт которых в совокупности соответствуют характеру, масштабу и сложности государственного аудита.</w:t>
      </w:r>
    </w:p>
    <w:bookmarkEnd w:id="60"/>
    <w:bookmarkStart w:name="z74" w:id="61"/>
    <w:p>
      <w:pPr>
        <w:spacing w:after="0"/>
        <w:ind w:left="0"/>
        <w:jc w:val="both"/>
      </w:pPr>
      <w:r>
        <w:rPr>
          <w:rFonts w:ascii="Times New Roman"/>
          <w:b w:val="false"/>
          <w:i w:val="false"/>
          <w:color w:val="000000"/>
          <w:sz w:val="28"/>
        </w:rPr>
        <w:t>
      Государственные аудиторы принимают во внимание главные аспекты значимости предстоящей работы, включая такие количественные и качественные факторы, как цель, масштаб, предмет и показатели аудита эффективности.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15. Показатели аудита эффективности соответствуют следующим характеристикам:</w:t>
      </w:r>
    </w:p>
    <w:bookmarkEnd w:id="62"/>
    <w:bookmarkStart w:name="z76" w:id="63"/>
    <w:p>
      <w:pPr>
        <w:spacing w:after="0"/>
        <w:ind w:left="0"/>
        <w:jc w:val="both"/>
      </w:pPr>
      <w:r>
        <w:rPr>
          <w:rFonts w:ascii="Times New Roman"/>
          <w:b w:val="false"/>
          <w:i w:val="false"/>
          <w:color w:val="000000"/>
          <w:sz w:val="28"/>
        </w:rPr>
        <w:t>
      1) применимость – показатели связаны с целью и вопросами аудита эффективности;</w:t>
      </w:r>
    </w:p>
    <w:bookmarkEnd w:id="63"/>
    <w:bookmarkStart w:name="z77" w:id="64"/>
    <w:p>
      <w:pPr>
        <w:spacing w:after="0"/>
        <w:ind w:left="0"/>
        <w:jc w:val="both"/>
      </w:pPr>
      <w:r>
        <w:rPr>
          <w:rFonts w:ascii="Times New Roman"/>
          <w:b w:val="false"/>
          <w:i w:val="false"/>
          <w:color w:val="000000"/>
          <w:sz w:val="28"/>
        </w:rPr>
        <w:t>
      2) приемлемость – показатели согласованы с требованиями законодательства или мнением независимых экспертов;</w:t>
      </w:r>
    </w:p>
    <w:bookmarkEnd w:id="64"/>
    <w:bookmarkStart w:name="z78" w:id="65"/>
    <w:p>
      <w:pPr>
        <w:spacing w:after="0"/>
        <w:ind w:left="0"/>
        <w:jc w:val="both"/>
      </w:pPr>
      <w:r>
        <w:rPr>
          <w:rFonts w:ascii="Times New Roman"/>
          <w:b w:val="false"/>
          <w:i w:val="false"/>
          <w:color w:val="000000"/>
          <w:sz w:val="28"/>
        </w:rPr>
        <w:t>
      3) надежность – показатели применимы государственными аудиторами при схожих обстоятельствах для формирования аналогичных выводов, заключений и рекомендаций;</w:t>
      </w:r>
    </w:p>
    <w:bookmarkEnd w:id="65"/>
    <w:bookmarkStart w:name="z79" w:id="66"/>
    <w:p>
      <w:pPr>
        <w:spacing w:after="0"/>
        <w:ind w:left="0"/>
        <w:jc w:val="both"/>
      </w:pPr>
      <w:r>
        <w:rPr>
          <w:rFonts w:ascii="Times New Roman"/>
          <w:b w:val="false"/>
          <w:i w:val="false"/>
          <w:color w:val="000000"/>
          <w:sz w:val="28"/>
        </w:rPr>
        <w:t>
      4) объективность – показатели не являются предвзятыми и основываются на полной и достоверной информации;</w:t>
      </w:r>
    </w:p>
    <w:bookmarkEnd w:id="66"/>
    <w:bookmarkStart w:name="z80" w:id="67"/>
    <w:p>
      <w:pPr>
        <w:spacing w:after="0"/>
        <w:ind w:left="0"/>
        <w:jc w:val="both"/>
      </w:pPr>
      <w:r>
        <w:rPr>
          <w:rFonts w:ascii="Times New Roman"/>
          <w:b w:val="false"/>
          <w:i w:val="false"/>
          <w:color w:val="000000"/>
          <w:sz w:val="28"/>
        </w:rPr>
        <w:t>
      5) полнота – показатели являются достаточными для достижения цели аудита эффективности;</w:t>
      </w:r>
    </w:p>
    <w:bookmarkEnd w:id="67"/>
    <w:bookmarkStart w:name="z81" w:id="68"/>
    <w:p>
      <w:pPr>
        <w:spacing w:after="0"/>
        <w:ind w:left="0"/>
        <w:jc w:val="both"/>
      </w:pPr>
      <w:r>
        <w:rPr>
          <w:rFonts w:ascii="Times New Roman"/>
          <w:b w:val="false"/>
          <w:i w:val="false"/>
          <w:color w:val="000000"/>
          <w:sz w:val="28"/>
        </w:rPr>
        <w:t>
      6) полезность – применение показателей обеспечивает выявление фактов (данных) для формулировки обоснованных выводов, заключений и рекомендаций по улучшениям результатов эффективности;</w:t>
      </w:r>
    </w:p>
    <w:bookmarkEnd w:id="68"/>
    <w:bookmarkStart w:name="z82" w:id="69"/>
    <w:p>
      <w:pPr>
        <w:spacing w:after="0"/>
        <w:ind w:left="0"/>
        <w:jc w:val="both"/>
      </w:pPr>
      <w:r>
        <w:rPr>
          <w:rFonts w:ascii="Times New Roman"/>
          <w:b w:val="false"/>
          <w:i w:val="false"/>
          <w:color w:val="000000"/>
          <w:sz w:val="28"/>
        </w:rPr>
        <w:t>
      7) понятность – показатели формулируются предельно кратко, содержат четкий и не подлежащий различному толкованию смысл.</w:t>
      </w:r>
    </w:p>
    <w:bookmarkEnd w:id="69"/>
    <w:bookmarkStart w:name="z83" w:id="70"/>
    <w:p>
      <w:pPr>
        <w:spacing w:after="0"/>
        <w:ind w:left="0"/>
        <w:jc w:val="both"/>
      </w:pPr>
      <w:r>
        <w:rPr>
          <w:rFonts w:ascii="Times New Roman"/>
          <w:b w:val="false"/>
          <w:i w:val="false"/>
          <w:color w:val="000000"/>
          <w:sz w:val="28"/>
        </w:rPr>
        <w:t>
      16. При разработке показателей аудита эффективности учитываются следующие риски:</w:t>
      </w:r>
    </w:p>
    <w:bookmarkEnd w:id="70"/>
    <w:bookmarkStart w:name="z84" w:id="71"/>
    <w:p>
      <w:pPr>
        <w:spacing w:after="0"/>
        <w:ind w:left="0"/>
        <w:jc w:val="both"/>
      </w:pPr>
      <w:r>
        <w:rPr>
          <w:rFonts w:ascii="Times New Roman"/>
          <w:b w:val="false"/>
          <w:i w:val="false"/>
          <w:color w:val="000000"/>
          <w:sz w:val="28"/>
        </w:rPr>
        <w:t>
      1) субъективность – разработка показателей при наличии неполной, необъективной информации и при отсутствии всестороннего изучения проверяемого направления, сферы (области), в том числе вследствие недостаточности нормативно-методологической базы и опыта в проверяемой сфере (области);</w:t>
      </w:r>
    </w:p>
    <w:bookmarkEnd w:id="71"/>
    <w:bookmarkStart w:name="z85" w:id="72"/>
    <w:p>
      <w:pPr>
        <w:spacing w:after="0"/>
        <w:ind w:left="0"/>
        <w:jc w:val="both"/>
      </w:pPr>
      <w:r>
        <w:rPr>
          <w:rFonts w:ascii="Times New Roman"/>
          <w:b w:val="false"/>
          <w:i w:val="false"/>
          <w:color w:val="000000"/>
          <w:sz w:val="28"/>
        </w:rPr>
        <w:t>
      2) отсутствие независимого экспертного мнения, квалифицированных специалистов в данной отрасли, независимых узкоспециализированных экспертов, научных разработок;</w:t>
      </w:r>
    </w:p>
    <w:bookmarkEnd w:id="72"/>
    <w:bookmarkStart w:name="z86" w:id="73"/>
    <w:p>
      <w:pPr>
        <w:spacing w:after="0"/>
        <w:ind w:left="0"/>
        <w:jc w:val="both"/>
      </w:pPr>
      <w:r>
        <w:rPr>
          <w:rFonts w:ascii="Times New Roman"/>
          <w:b w:val="false"/>
          <w:i w:val="false"/>
          <w:color w:val="000000"/>
          <w:sz w:val="28"/>
        </w:rPr>
        <w:t>
      3) невозможность количественных и качественных измерений показателей эффективности ввиду специфики сферы (области) аудита эффективности;</w:t>
      </w:r>
    </w:p>
    <w:bookmarkEnd w:id="73"/>
    <w:bookmarkStart w:name="z87" w:id="74"/>
    <w:p>
      <w:pPr>
        <w:spacing w:after="0"/>
        <w:ind w:left="0"/>
        <w:jc w:val="both"/>
      </w:pPr>
      <w:r>
        <w:rPr>
          <w:rFonts w:ascii="Times New Roman"/>
          <w:b w:val="false"/>
          <w:i w:val="false"/>
          <w:color w:val="000000"/>
          <w:sz w:val="28"/>
        </w:rPr>
        <w:t>
      4) отсутствие стандартов в деятельности объекта государственного аудита при проведении аудиторского мероприятия в новой области.</w:t>
      </w:r>
    </w:p>
    <w:bookmarkEnd w:id="74"/>
    <w:bookmarkStart w:name="z88" w:id="75"/>
    <w:p>
      <w:pPr>
        <w:spacing w:after="0"/>
        <w:ind w:left="0"/>
        <w:jc w:val="both"/>
      </w:pPr>
      <w:r>
        <w:rPr>
          <w:rFonts w:ascii="Times New Roman"/>
          <w:b w:val="false"/>
          <w:i w:val="false"/>
          <w:color w:val="000000"/>
          <w:sz w:val="28"/>
        </w:rPr>
        <w:t xml:space="preserve">
      При разработке показателей аудита эффективности допускается использование критериев и показателей эффективности в соответствии с методиками, разработанными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и столицы, утвержденной Указом Президента Республики Казахстан от 19 марта 2010 года № 954.</w:t>
      </w:r>
    </w:p>
    <w:bookmarkEnd w:id="75"/>
    <w:bookmarkStart w:name="z89" w:id="76"/>
    <w:p>
      <w:pPr>
        <w:spacing w:after="0"/>
        <w:ind w:left="0"/>
        <w:jc w:val="both"/>
      </w:pPr>
      <w:r>
        <w:rPr>
          <w:rFonts w:ascii="Times New Roman"/>
          <w:b w:val="false"/>
          <w:i w:val="false"/>
          <w:color w:val="000000"/>
          <w:sz w:val="28"/>
        </w:rPr>
        <w:t>
      17. Для обеспечения соответствия показателей аудита эффективности требованиям, установленным пунктами 15 и 16 настоящего Стандарта, проводится обсуждение показателей аудита эффективности с должностными лицами объекта государственного аудита, при необходимости привлекаются эксперты.</w:t>
      </w:r>
    </w:p>
    <w:bookmarkEnd w:id="76"/>
    <w:bookmarkStart w:name="z90" w:id="77"/>
    <w:p>
      <w:pPr>
        <w:spacing w:after="0"/>
        <w:ind w:left="0"/>
        <w:jc w:val="both"/>
      </w:pPr>
      <w:r>
        <w:rPr>
          <w:rFonts w:ascii="Times New Roman"/>
          <w:b w:val="false"/>
          <w:i w:val="false"/>
          <w:color w:val="000000"/>
          <w:sz w:val="28"/>
        </w:rPr>
        <w:t>
      18. Допускается корректировка или разработка новых показателей аудита эффективности на последующих этапах аудиторского мероприятия, при наличии оформленных надлежащим образом аудиторских доказательств с обязательным включением соответствующих ссылок в аудиторскую документацию.</w:t>
      </w:r>
    </w:p>
    <w:bookmarkEnd w:id="77"/>
    <w:bookmarkStart w:name="z91" w:id="78"/>
    <w:p>
      <w:pPr>
        <w:spacing w:after="0"/>
        <w:ind w:left="0"/>
        <w:jc w:val="both"/>
      </w:pPr>
      <w:r>
        <w:rPr>
          <w:rFonts w:ascii="Times New Roman"/>
          <w:b w:val="false"/>
          <w:i w:val="false"/>
          <w:color w:val="000000"/>
          <w:sz w:val="28"/>
        </w:rPr>
        <w:t>
      19. В процессе планирования учитываются полученные сведения о деятельности объекта государственного аудита путем непрерывного процесса сбора и обработки информации. Информация, получаемая на последующих этапах проведения аудита эффективности, дополняет данные, полученные на подготовительном этапе.</w:t>
      </w:r>
    </w:p>
    <w:bookmarkEnd w:id="78"/>
    <w:bookmarkStart w:name="z92" w:id="79"/>
    <w:p>
      <w:pPr>
        <w:spacing w:after="0"/>
        <w:ind w:left="0"/>
        <w:jc w:val="both"/>
      </w:pPr>
      <w:r>
        <w:rPr>
          <w:rFonts w:ascii="Times New Roman"/>
          <w:b w:val="false"/>
          <w:i w:val="false"/>
          <w:color w:val="000000"/>
          <w:sz w:val="28"/>
        </w:rPr>
        <w:t xml:space="preserve">
      20. Программа аудита составляется с учетом требований </w:t>
      </w:r>
      <w:r>
        <w:rPr>
          <w:rFonts w:ascii="Times New Roman"/>
          <w:b w:val="false"/>
          <w:i w:val="false"/>
          <w:color w:val="000000"/>
          <w:sz w:val="28"/>
        </w:rPr>
        <w:t>Правил</w:t>
      </w:r>
      <w:r>
        <w:rPr>
          <w:rFonts w:ascii="Times New Roman"/>
          <w:b w:val="false"/>
          <w:i w:val="false"/>
          <w:color w:val="000000"/>
          <w:sz w:val="28"/>
        </w:rPr>
        <w:t xml:space="preserve"> проведения внутреннего государственного аудита, которая содержит показатели аудита эффективности и детализированные вопросы к каждому из показателей.</w:t>
      </w:r>
    </w:p>
    <w:bookmarkEnd w:id="79"/>
    <w:bookmarkStart w:name="z93" w:id="80"/>
    <w:p>
      <w:pPr>
        <w:spacing w:after="0"/>
        <w:ind w:left="0"/>
        <w:jc w:val="both"/>
      </w:pPr>
      <w:r>
        <w:rPr>
          <w:rFonts w:ascii="Times New Roman"/>
          <w:b w:val="false"/>
          <w:i w:val="false"/>
          <w:color w:val="000000"/>
          <w:sz w:val="28"/>
        </w:rPr>
        <w:t>
      Вопросы аудита эффективности являются детализацией цели аудита и обеспечивают логическую связь с показателями аудита эффективности.</w:t>
      </w:r>
    </w:p>
    <w:bookmarkEnd w:id="80"/>
    <w:bookmarkStart w:name="z94" w:id="81"/>
    <w:p>
      <w:pPr>
        <w:spacing w:after="0"/>
        <w:ind w:left="0"/>
        <w:jc w:val="both"/>
      </w:pPr>
      <w:r>
        <w:rPr>
          <w:rFonts w:ascii="Times New Roman"/>
          <w:b w:val="false"/>
          <w:i w:val="false"/>
          <w:color w:val="000000"/>
          <w:sz w:val="28"/>
        </w:rPr>
        <w:t>
      Оценка функционирования систем управления бизнес-процессами по предмету аудита эффективности, оценка достижения запланированных результатов, анализ причин, повлекших недостижение оцениваемых результатов по предмету аудита эффективности и их последствий, являются обязательными вопросами, включаемыми в программу аудита эффективности.</w:t>
      </w:r>
    </w:p>
    <w:bookmarkEnd w:id="81"/>
    <w:bookmarkStart w:name="z95" w:id="82"/>
    <w:p>
      <w:pPr>
        <w:spacing w:after="0"/>
        <w:ind w:left="0"/>
        <w:jc w:val="both"/>
      </w:pPr>
      <w:r>
        <w:rPr>
          <w:rFonts w:ascii="Times New Roman"/>
          <w:b w:val="false"/>
          <w:i w:val="false"/>
          <w:color w:val="000000"/>
          <w:sz w:val="28"/>
        </w:rPr>
        <w:t>
      21. Аудиторское задание содержит конкретные программные вопросы, подлежащие охвату в ходе аудиторского мероприятия, сроки их рассмотрения на каждом объекте государственного аудита, распределяемые между участниками группы аудита.</w:t>
      </w:r>
    </w:p>
    <w:bookmarkEnd w:id="82"/>
    <w:bookmarkStart w:name="z96" w:id="83"/>
    <w:p>
      <w:pPr>
        <w:spacing w:after="0"/>
        <w:ind w:left="0"/>
        <w:jc w:val="both"/>
      </w:pPr>
      <w:r>
        <w:rPr>
          <w:rFonts w:ascii="Times New Roman"/>
          <w:b w:val="false"/>
          <w:i w:val="false"/>
          <w:color w:val="000000"/>
          <w:sz w:val="28"/>
        </w:rPr>
        <w:t>
      Контроль за выполнением аудиторского задания возлагается на руководителя группы государственного аудита.</w:t>
      </w:r>
    </w:p>
    <w:bookmarkEnd w:id="83"/>
    <w:bookmarkStart w:name="z97" w:id="84"/>
    <w:p>
      <w:pPr>
        <w:spacing w:after="0"/>
        <w:ind w:left="0"/>
        <w:jc w:val="left"/>
      </w:pPr>
      <w:r>
        <w:rPr>
          <w:rFonts w:ascii="Times New Roman"/>
          <w:b/>
          <w:i w:val="false"/>
          <w:color w:val="000000"/>
        </w:rPr>
        <w:t xml:space="preserve"> Глава 2. Аудиторские процедуры</w:t>
      </w:r>
    </w:p>
    <w:bookmarkEnd w:id="84"/>
    <w:bookmarkStart w:name="z98" w:id="85"/>
    <w:p>
      <w:pPr>
        <w:spacing w:after="0"/>
        <w:ind w:left="0"/>
        <w:jc w:val="both"/>
      </w:pPr>
      <w:r>
        <w:rPr>
          <w:rFonts w:ascii="Times New Roman"/>
          <w:b w:val="false"/>
          <w:i w:val="false"/>
          <w:color w:val="000000"/>
          <w:sz w:val="28"/>
        </w:rPr>
        <w:t xml:space="preserve">
      22. Аудит эффективности осуществляется в порядке, определенном настоящим Стандартом и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внутреннего государственного аудита.</w:t>
      </w:r>
    </w:p>
    <w:bookmarkEnd w:id="85"/>
    <w:bookmarkStart w:name="z99" w:id="86"/>
    <w:p>
      <w:pPr>
        <w:spacing w:after="0"/>
        <w:ind w:left="0"/>
        <w:jc w:val="both"/>
      </w:pPr>
      <w:r>
        <w:rPr>
          <w:rFonts w:ascii="Times New Roman"/>
          <w:b w:val="false"/>
          <w:i w:val="false"/>
          <w:color w:val="000000"/>
          <w:sz w:val="28"/>
        </w:rPr>
        <w:t>
      23. Процедура проведения аудита эффективности представляет собой глубокое и тщательное рассмотрение внутренних процессов (бизнес-процессов) в соответствии с целью и предметом аудита для определения рисков и их оценки, а также сбора достаточных и надлежащих аудиторских доказательств, которые станут основой для выводов и рекомендаций аудита.</w:t>
      </w:r>
    </w:p>
    <w:bookmarkEnd w:id="86"/>
    <w:bookmarkStart w:name="z100" w:id="87"/>
    <w:p>
      <w:pPr>
        <w:spacing w:after="0"/>
        <w:ind w:left="0"/>
        <w:jc w:val="both"/>
      </w:pPr>
      <w:r>
        <w:rPr>
          <w:rFonts w:ascii="Times New Roman"/>
          <w:b w:val="false"/>
          <w:i w:val="false"/>
          <w:color w:val="000000"/>
          <w:sz w:val="28"/>
        </w:rPr>
        <w:t>
      24. Государственные аудиторы с целью получения достаточных и надлежащих доказательств, проводят следующие аудиторские процедуры:</w:t>
      </w:r>
    </w:p>
    <w:bookmarkEnd w:id="87"/>
    <w:bookmarkStart w:name="z101" w:id="88"/>
    <w:p>
      <w:pPr>
        <w:spacing w:after="0"/>
        <w:ind w:left="0"/>
        <w:jc w:val="both"/>
      </w:pPr>
      <w:r>
        <w:rPr>
          <w:rFonts w:ascii="Times New Roman"/>
          <w:b w:val="false"/>
          <w:i w:val="false"/>
          <w:color w:val="000000"/>
          <w:sz w:val="28"/>
        </w:rPr>
        <w:t>
      анализ исследуемой документации по предмету аудита эффективности;</w:t>
      </w:r>
    </w:p>
    <w:bookmarkEnd w:id="88"/>
    <w:bookmarkStart w:name="z102" w:id="89"/>
    <w:p>
      <w:pPr>
        <w:spacing w:after="0"/>
        <w:ind w:left="0"/>
        <w:jc w:val="both"/>
      </w:pPr>
      <w:r>
        <w:rPr>
          <w:rFonts w:ascii="Times New Roman"/>
          <w:b w:val="false"/>
          <w:i w:val="false"/>
          <w:color w:val="000000"/>
          <w:sz w:val="28"/>
        </w:rPr>
        <w:t>
      оценка функционирования системы внутреннего контроля объекта государственного аудита, по направлению предмета аудита эффективности;</w:t>
      </w:r>
    </w:p>
    <w:bookmarkEnd w:id="89"/>
    <w:bookmarkStart w:name="z103" w:id="90"/>
    <w:p>
      <w:pPr>
        <w:spacing w:after="0"/>
        <w:ind w:left="0"/>
        <w:jc w:val="both"/>
      </w:pPr>
      <w:r>
        <w:rPr>
          <w:rFonts w:ascii="Times New Roman"/>
          <w:b w:val="false"/>
          <w:i w:val="false"/>
          <w:color w:val="000000"/>
          <w:sz w:val="28"/>
        </w:rPr>
        <w:t>
      интервью (опрос) с лицами, связанными с предметом аудита эффективности (должностные лица объекта государственного аудита, контрагенты, получатели государственных услуг и другие физические или юридические лица);</w:t>
      </w:r>
    </w:p>
    <w:bookmarkEnd w:id="90"/>
    <w:bookmarkStart w:name="z104" w:id="91"/>
    <w:p>
      <w:pPr>
        <w:spacing w:after="0"/>
        <w:ind w:left="0"/>
        <w:jc w:val="both"/>
      </w:pPr>
      <w:r>
        <w:rPr>
          <w:rFonts w:ascii="Times New Roman"/>
          <w:b w:val="false"/>
          <w:i w:val="false"/>
          <w:color w:val="000000"/>
          <w:sz w:val="28"/>
        </w:rPr>
        <w:t>
      наблюдение и осмотр (наблюдение за процессом или процедурой, выполняемой другими лицами);</w:t>
      </w:r>
    </w:p>
    <w:bookmarkEnd w:id="91"/>
    <w:bookmarkStart w:name="z105" w:id="92"/>
    <w:p>
      <w:pPr>
        <w:spacing w:after="0"/>
        <w:ind w:left="0"/>
        <w:jc w:val="both"/>
      </w:pPr>
      <w:r>
        <w:rPr>
          <w:rFonts w:ascii="Times New Roman"/>
          <w:b w:val="false"/>
          <w:i w:val="false"/>
          <w:color w:val="000000"/>
          <w:sz w:val="28"/>
        </w:rPr>
        <w:t>
      аналитические процедуры (сопоставление информации за периоды, сопоставление показателей элементов финансовой отчетности, изучение взаимосвязи между данными показателей финансовой и нефинансовой информации за аудируемый период, изучение взаимосвязи между элементами предмета аудита эффективности);</w:t>
      </w:r>
    </w:p>
    <w:bookmarkEnd w:id="92"/>
    <w:bookmarkStart w:name="z106" w:id="93"/>
    <w:p>
      <w:pPr>
        <w:spacing w:after="0"/>
        <w:ind w:left="0"/>
        <w:jc w:val="both"/>
      </w:pPr>
      <w:r>
        <w:rPr>
          <w:rFonts w:ascii="Times New Roman"/>
          <w:b w:val="false"/>
          <w:i w:val="false"/>
          <w:color w:val="000000"/>
          <w:sz w:val="28"/>
        </w:rPr>
        <w:t>
      инспектирование (проверка внутренних или внешних записей, или документов, в бумажной или электронной форме, или на прочих носителях информации, что обеспечивает аудиторские доказательства различной степени надежности (в зависимости от характера и источника));</w:t>
      </w:r>
    </w:p>
    <w:bookmarkEnd w:id="93"/>
    <w:bookmarkStart w:name="z107" w:id="94"/>
    <w:p>
      <w:pPr>
        <w:spacing w:after="0"/>
        <w:ind w:left="0"/>
        <w:jc w:val="both"/>
      </w:pPr>
      <w:r>
        <w:rPr>
          <w:rFonts w:ascii="Times New Roman"/>
          <w:b w:val="false"/>
          <w:i w:val="false"/>
          <w:color w:val="000000"/>
          <w:sz w:val="28"/>
        </w:rPr>
        <w:t>
      запрос и подтверждение (дополнение к другим аудиторским процедурам, в форме устного или письменного запроса);</w:t>
      </w:r>
    </w:p>
    <w:bookmarkEnd w:id="94"/>
    <w:bookmarkStart w:name="z108" w:id="95"/>
    <w:p>
      <w:pPr>
        <w:spacing w:after="0"/>
        <w:ind w:left="0"/>
        <w:jc w:val="both"/>
      </w:pPr>
      <w:r>
        <w:rPr>
          <w:rFonts w:ascii="Times New Roman"/>
          <w:b w:val="false"/>
          <w:i w:val="false"/>
          <w:color w:val="000000"/>
          <w:sz w:val="28"/>
        </w:rPr>
        <w:t>
      пересчет (проверка арифметической точности документов или записей);</w:t>
      </w:r>
    </w:p>
    <w:bookmarkEnd w:id="95"/>
    <w:bookmarkStart w:name="z109" w:id="96"/>
    <w:p>
      <w:pPr>
        <w:spacing w:after="0"/>
        <w:ind w:left="0"/>
        <w:jc w:val="both"/>
      </w:pPr>
      <w:r>
        <w:rPr>
          <w:rFonts w:ascii="Times New Roman"/>
          <w:b w:val="false"/>
          <w:i w:val="false"/>
          <w:color w:val="000000"/>
          <w:sz w:val="28"/>
        </w:rPr>
        <w:t>
      повторное выполнение (контрольные действия государственного аудитора в отношении руководства и работников объекта государственного аудита по применяемым ими средствам контроля).</w:t>
      </w:r>
    </w:p>
    <w:bookmarkEnd w:id="96"/>
    <w:bookmarkStart w:name="z110" w:id="97"/>
    <w:p>
      <w:pPr>
        <w:spacing w:after="0"/>
        <w:ind w:left="0"/>
        <w:jc w:val="both"/>
      </w:pPr>
      <w:r>
        <w:rPr>
          <w:rFonts w:ascii="Times New Roman"/>
          <w:b w:val="false"/>
          <w:i w:val="false"/>
          <w:color w:val="000000"/>
          <w:sz w:val="28"/>
        </w:rPr>
        <w:t>
      Государственные аудиторы обеспечивают открытость и понятность аудиторских процедур, выполняемых на всех этапах аудита эффективности.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вносится изменение на казахском языке, текст на русском языке не меняется в соответствии с приказом Министра финансов РК от 27.03.2024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25. На основе профессионального суждения государственные аудиторы проводят аудит эффективности способом, позволяющим сократить риск до приемлемого уровня, обеспечивая разумную уверенность в достаточности, приемлемости и надежности аудиторских доказательств.</w:t>
      </w:r>
    </w:p>
    <w:bookmarkEnd w:id="98"/>
    <w:bookmarkStart w:name="z112" w:id="99"/>
    <w:p>
      <w:pPr>
        <w:spacing w:after="0"/>
        <w:ind w:left="0"/>
        <w:jc w:val="both"/>
      </w:pPr>
      <w:r>
        <w:rPr>
          <w:rFonts w:ascii="Times New Roman"/>
          <w:b w:val="false"/>
          <w:i w:val="false"/>
          <w:color w:val="000000"/>
          <w:sz w:val="28"/>
        </w:rPr>
        <w:t>
      26. При проведении аудита эффективности аудиторские доказательства государственным аудитором анализируются в соответствии с предметом и целью аудита эффективности.</w:t>
      </w:r>
    </w:p>
    <w:bookmarkEnd w:id="99"/>
    <w:bookmarkStart w:name="z113" w:id="100"/>
    <w:p>
      <w:pPr>
        <w:spacing w:after="0"/>
        <w:ind w:left="0"/>
        <w:jc w:val="both"/>
      </w:pPr>
      <w:r>
        <w:rPr>
          <w:rFonts w:ascii="Times New Roman"/>
          <w:b w:val="false"/>
          <w:i w:val="false"/>
          <w:color w:val="000000"/>
          <w:sz w:val="28"/>
        </w:rPr>
        <w:t>
      27. Профессиональное суждение используется при определении характера, вида, способа сбора и обеспечения качества собираемых аудиторских доказательств, служащих основой для выводов, заключений и рекомендаций органов государственного аудита и финансового контроля.</w:t>
      </w:r>
    </w:p>
    <w:bookmarkEnd w:id="100"/>
    <w:bookmarkStart w:name="z114" w:id="101"/>
    <w:p>
      <w:pPr>
        <w:spacing w:after="0"/>
        <w:ind w:left="0"/>
        <w:jc w:val="left"/>
      </w:pPr>
      <w:r>
        <w:rPr>
          <w:rFonts w:ascii="Times New Roman"/>
          <w:b/>
          <w:i w:val="false"/>
          <w:color w:val="000000"/>
        </w:rPr>
        <w:t xml:space="preserve"> Глава 3. Систематизация выявленных фактов и составление аудиторского отчета</w:t>
      </w:r>
    </w:p>
    <w:bookmarkEnd w:id="101"/>
    <w:bookmarkStart w:name="z115" w:id="102"/>
    <w:p>
      <w:pPr>
        <w:spacing w:after="0"/>
        <w:ind w:left="0"/>
        <w:jc w:val="both"/>
      </w:pPr>
      <w:r>
        <w:rPr>
          <w:rFonts w:ascii="Times New Roman"/>
          <w:b w:val="false"/>
          <w:i w:val="false"/>
          <w:color w:val="000000"/>
          <w:sz w:val="28"/>
        </w:rPr>
        <w:t>
      28. Выявленные факты по предмету аудита эффективности оцениваются на соответствие показателям аудита эффективности.</w:t>
      </w:r>
    </w:p>
    <w:bookmarkEnd w:id="102"/>
    <w:bookmarkStart w:name="z116" w:id="103"/>
    <w:p>
      <w:pPr>
        <w:spacing w:after="0"/>
        <w:ind w:left="0"/>
        <w:jc w:val="both"/>
      </w:pPr>
      <w:r>
        <w:rPr>
          <w:rFonts w:ascii="Times New Roman"/>
          <w:b w:val="false"/>
          <w:i w:val="false"/>
          <w:color w:val="000000"/>
          <w:sz w:val="28"/>
        </w:rPr>
        <w:t>
      Лицом, ответственным за проведение аудиторского мероприятия и членами группы аудита эффективности проводится совместное обсуждение выявленных результатов, с участием представителей объекта государственного аудита и (или) другими организациями, вовлеченными в управление деятельностью объекта государственного аудита, и их систематизация путем:</w:t>
      </w:r>
    </w:p>
    <w:bookmarkEnd w:id="103"/>
    <w:bookmarkStart w:name="z117" w:id="104"/>
    <w:p>
      <w:pPr>
        <w:spacing w:after="0"/>
        <w:ind w:left="0"/>
        <w:jc w:val="both"/>
      </w:pPr>
      <w:r>
        <w:rPr>
          <w:rFonts w:ascii="Times New Roman"/>
          <w:b w:val="false"/>
          <w:i w:val="false"/>
          <w:color w:val="000000"/>
          <w:sz w:val="28"/>
        </w:rPr>
        <w:t>
      1) ранжирования выявленных фактов по существенности и значимости;</w:t>
      </w:r>
    </w:p>
    <w:bookmarkEnd w:id="104"/>
    <w:bookmarkStart w:name="z118" w:id="105"/>
    <w:p>
      <w:pPr>
        <w:spacing w:after="0"/>
        <w:ind w:left="0"/>
        <w:jc w:val="both"/>
      </w:pPr>
      <w:r>
        <w:rPr>
          <w:rFonts w:ascii="Times New Roman"/>
          <w:b w:val="false"/>
          <w:i w:val="false"/>
          <w:color w:val="000000"/>
          <w:sz w:val="28"/>
        </w:rPr>
        <w:t>
      2) выяснения, являются ли факты фрагментарным случаем или представляют собой признак системной проблемы;</w:t>
      </w:r>
    </w:p>
    <w:bookmarkEnd w:id="105"/>
    <w:bookmarkStart w:name="z119" w:id="106"/>
    <w:p>
      <w:pPr>
        <w:spacing w:after="0"/>
        <w:ind w:left="0"/>
        <w:jc w:val="both"/>
      </w:pPr>
      <w:r>
        <w:rPr>
          <w:rFonts w:ascii="Times New Roman"/>
          <w:b w:val="false"/>
          <w:i w:val="false"/>
          <w:color w:val="000000"/>
          <w:sz w:val="28"/>
        </w:rPr>
        <w:t>
      3) выяснения осведомленности руководства объекта государственного аудита о выявленных системных проблемах и определения необходимости участия других сторон в устранении выявленных недостатков и реализации рекомендаций по улучшению деятельности объекта государственного аудита;</w:t>
      </w:r>
    </w:p>
    <w:bookmarkEnd w:id="106"/>
    <w:bookmarkStart w:name="z120" w:id="107"/>
    <w:p>
      <w:pPr>
        <w:spacing w:after="0"/>
        <w:ind w:left="0"/>
        <w:jc w:val="both"/>
      </w:pPr>
      <w:r>
        <w:rPr>
          <w:rFonts w:ascii="Times New Roman"/>
          <w:b w:val="false"/>
          <w:i w:val="false"/>
          <w:color w:val="000000"/>
          <w:sz w:val="28"/>
        </w:rPr>
        <w:t>
      4) определения причины образования и влияния выявленных фактов на предмет аудита эффективности или деятельность объекта государственного аудита.</w:t>
      </w:r>
    </w:p>
    <w:bookmarkEnd w:id="107"/>
    <w:bookmarkStart w:name="z121" w:id="108"/>
    <w:p>
      <w:pPr>
        <w:spacing w:after="0"/>
        <w:ind w:left="0"/>
        <w:jc w:val="both"/>
      </w:pPr>
      <w:r>
        <w:rPr>
          <w:rFonts w:ascii="Times New Roman"/>
          <w:b w:val="false"/>
          <w:i w:val="false"/>
          <w:color w:val="000000"/>
          <w:sz w:val="28"/>
        </w:rPr>
        <w:t>
      Систематизация выявленных фактов предполагает их соотнесение с соответствующими показателями аудита эффективности и вопросами аудита эффективности.</w:t>
      </w:r>
    </w:p>
    <w:bookmarkEnd w:id="108"/>
    <w:bookmarkStart w:name="z122" w:id="109"/>
    <w:p>
      <w:pPr>
        <w:spacing w:after="0"/>
        <w:ind w:left="0"/>
        <w:jc w:val="both"/>
      </w:pPr>
      <w:r>
        <w:rPr>
          <w:rFonts w:ascii="Times New Roman"/>
          <w:b w:val="false"/>
          <w:i w:val="false"/>
          <w:color w:val="000000"/>
          <w:sz w:val="28"/>
        </w:rPr>
        <w:t>
      29. Выявленные при проведении аудита эффективности факты являются свидетельствами:</w:t>
      </w:r>
    </w:p>
    <w:bookmarkEnd w:id="109"/>
    <w:bookmarkStart w:name="z123" w:id="110"/>
    <w:p>
      <w:pPr>
        <w:spacing w:after="0"/>
        <w:ind w:left="0"/>
        <w:jc w:val="both"/>
      </w:pPr>
      <w:r>
        <w:rPr>
          <w:rFonts w:ascii="Times New Roman"/>
          <w:b w:val="false"/>
          <w:i w:val="false"/>
          <w:color w:val="000000"/>
          <w:sz w:val="28"/>
        </w:rPr>
        <w:t>
      1) высоко-эффективной деятельности (имеют место позитивные отклонения фактических значений, характеризующих предмет аудита эффективности или деятельность объекта государственного аудита, от показателей аудита эффективности);</w:t>
      </w:r>
    </w:p>
    <w:bookmarkEnd w:id="110"/>
    <w:bookmarkStart w:name="z124" w:id="111"/>
    <w:p>
      <w:pPr>
        <w:spacing w:after="0"/>
        <w:ind w:left="0"/>
        <w:jc w:val="both"/>
      </w:pPr>
      <w:r>
        <w:rPr>
          <w:rFonts w:ascii="Times New Roman"/>
          <w:b w:val="false"/>
          <w:i w:val="false"/>
          <w:color w:val="000000"/>
          <w:sz w:val="28"/>
        </w:rPr>
        <w:t>
      2)  эффективной деятельности (фактические значения, характеризующие предмет аудита эффективности или деятельность объекта государственного аудита, соответствуют показателям аудита эффективности);</w:t>
      </w:r>
    </w:p>
    <w:bookmarkEnd w:id="111"/>
    <w:bookmarkStart w:name="z125" w:id="112"/>
    <w:p>
      <w:pPr>
        <w:spacing w:after="0"/>
        <w:ind w:left="0"/>
        <w:jc w:val="both"/>
      </w:pPr>
      <w:r>
        <w:rPr>
          <w:rFonts w:ascii="Times New Roman"/>
          <w:b w:val="false"/>
          <w:i w:val="false"/>
          <w:color w:val="000000"/>
          <w:sz w:val="28"/>
        </w:rPr>
        <w:t>
      3) неэффективной деятельности (имеют место отклонения в худшую сторону фактических значений, характеризующих предмет аудита эффективности или деятельность объекта государственного аудита, от показателей аудита эффективности).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вносится изменение на казахском языке, текст на русском языке не меняется в соответствии с приказом Министра финансов РК от 27.03.2024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3"/>
    <w:p>
      <w:pPr>
        <w:spacing w:after="0"/>
        <w:ind w:left="0"/>
        <w:jc w:val="both"/>
      </w:pPr>
      <w:r>
        <w:rPr>
          <w:rFonts w:ascii="Times New Roman"/>
          <w:b w:val="false"/>
          <w:i w:val="false"/>
          <w:color w:val="000000"/>
          <w:sz w:val="28"/>
        </w:rPr>
        <w:t>
      30. Каждый выявленный факт подтверждается надежными и достаточными аудиторскими</w:t>
      </w:r>
      <w:r>
        <w:rPr>
          <w:rFonts w:ascii="Times New Roman"/>
          <w:b w:val="false"/>
          <w:i w:val="false"/>
          <w:color w:val="000000"/>
          <w:sz w:val="28"/>
        </w:rPr>
        <w:t xml:space="preserve"> доказательствами</w:t>
      </w:r>
      <w:r>
        <w:rPr>
          <w:rFonts w:ascii="Times New Roman"/>
          <w:b w:val="false"/>
          <w:i w:val="false"/>
          <w:color w:val="000000"/>
          <w:sz w:val="28"/>
        </w:rPr>
        <w:t>. Сведения, сформированные по итогам аудиторского мероприятия, включает ответы на вопросы Программы аудита и при необходимости, аудиторское мнение в части причин и последствий отклонений от показателей аудита эффективности.</w:t>
      </w:r>
    </w:p>
    <w:bookmarkEnd w:id="113"/>
    <w:bookmarkStart w:name="z127" w:id="114"/>
    <w:p>
      <w:pPr>
        <w:spacing w:after="0"/>
        <w:ind w:left="0"/>
        <w:jc w:val="both"/>
      </w:pPr>
      <w:r>
        <w:rPr>
          <w:rFonts w:ascii="Times New Roman"/>
          <w:b w:val="false"/>
          <w:i w:val="false"/>
          <w:color w:val="000000"/>
          <w:sz w:val="28"/>
        </w:rPr>
        <w:t xml:space="preserve">
      31. Аудиторский отчет формируется с учетом обсуждений с представителями объекта государственного аудита и (или) другими организациями, вовлеченными в управление деятельностью объекта государственного аудита,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проведения внутреннего государственного аудита.</w:t>
      </w:r>
    </w:p>
    <w:bookmarkEnd w:id="114"/>
    <w:bookmarkStart w:name="z128" w:id="115"/>
    <w:p>
      <w:pPr>
        <w:spacing w:after="0"/>
        <w:ind w:left="0"/>
        <w:jc w:val="both"/>
      </w:pPr>
      <w:r>
        <w:rPr>
          <w:rFonts w:ascii="Times New Roman"/>
          <w:b w:val="false"/>
          <w:i w:val="false"/>
          <w:color w:val="000000"/>
          <w:sz w:val="28"/>
        </w:rPr>
        <w:t>
      32. Аудиторский отчет, составляемый по итогам аудита эффективности, в обязательном порядке содержит оценку на предмет соответствия показателям аудита эффективности и лаконичные ответы на все вопросы аудита эффективности.</w:t>
      </w:r>
    </w:p>
    <w:bookmarkEnd w:id="115"/>
    <w:bookmarkStart w:name="z129" w:id="116"/>
    <w:p>
      <w:pPr>
        <w:spacing w:after="0"/>
        <w:ind w:left="0"/>
        <w:jc w:val="both"/>
      </w:pPr>
      <w:r>
        <w:rPr>
          <w:rFonts w:ascii="Times New Roman"/>
          <w:b w:val="false"/>
          <w:i w:val="false"/>
          <w:color w:val="000000"/>
          <w:sz w:val="28"/>
        </w:rPr>
        <w:t>
      33. Выводы и заключения, включаемые в аудиторский отчет, содержат результаты причинно-следственного анализа, в том числе причины неэффективности в деятельности объекта государственного аудита и последствий отклонений от показателей аудита эффективности, с учетом отсутствия необходимости ссылки на нормы нормативных правовых актов при описании недостатков, проблем, рисков недостижения результатов и совершения нарушений и других сведений, а также необходимости отражения выявленных резервов для совершенствования предмета аудита эффективности или деятельности объекта государственного аудита.</w:t>
      </w:r>
    </w:p>
    <w:bookmarkEnd w:id="116"/>
    <w:bookmarkStart w:name="z130" w:id="117"/>
    <w:p>
      <w:pPr>
        <w:spacing w:after="0"/>
        <w:ind w:left="0"/>
        <w:jc w:val="both"/>
      </w:pPr>
      <w:r>
        <w:rPr>
          <w:rFonts w:ascii="Times New Roman"/>
          <w:b w:val="false"/>
          <w:i w:val="false"/>
          <w:color w:val="000000"/>
          <w:sz w:val="28"/>
        </w:rPr>
        <w:t>
      34. В аудиторский отчет включаются как выявленные нарушения и (или) недостатки, так и позитивные достижения по предмету аудита эффективности или в деятельности объекта государственного аудита.</w:t>
      </w:r>
    </w:p>
    <w:bookmarkEnd w:id="117"/>
    <w:bookmarkStart w:name="z131" w:id="118"/>
    <w:p>
      <w:pPr>
        <w:spacing w:after="0"/>
        <w:ind w:left="0"/>
        <w:jc w:val="left"/>
      </w:pPr>
      <w:r>
        <w:rPr>
          <w:rFonts w:ascii="Times New Roman"/>
          <w:b/>
          <w:i w:val="false"/>
          <w:color w:val="000000"/>
        </w:rPr>
        <w:t xml:space="preserve"> Глава 4. Составление отчета о результатах внутреннего государственного аудита и мониторинг исполнения рекомендаций</w:t>
      </w:r>
    </w:p>
    <w:bookmarkEnd w:id="118"/>
    <w:bookmarkStart w:name="z132" w:id="119"/>
    <w:p>
      <w:pPr>
        <w:spacing w:after="0"/>
        <w:ind w:left="0"/>
        <w:jc w:val="both"/>
      </w:pPr>
      <w:r>
        <w:rPr>
          <w:rFonts w:ascii="Times New Roman"/>
          <w:b w:val="false"/>
          <w:i w:val="false"/>
          <w:color w:val="000000"/>
          <w:sz w:val="28"/>
        </w:rPr>
        <w:t>
      35. Составление и представление отчета о результатах внутреннего аудита является ключевым этапом аудита эффективности, посредством которого обеспечивается содействие СВА улучшениям в изученной области государственного управления и (или) деятельности объекта государственного аудита.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36. Отчет о результатах внутреннего аудита, решение (распоряжение) об устранении нарушений и рассмотрении рекомендаций оформляются и направляются объекту государственного аудита в порядке и сроки, предусмотренные Правилами проведения внутреннего государственного аудита.</w:t>
      </w:r>
    </w:p>
    <w:bookmarkEnd w:id="120"/>
    <w:bookmarkStart w:name="z134" w:id="121"/>
    <w:p>
      <w:pPr>
        <w:spacing w:after="0"/>
        <w:ind w:left="0"/>
        <w:jc w:val="both"/>
      </w:pPr>
      <w:r>
        <w:rPr>
          <w:rFonts w:ascii="Times New Roman"/>
          <w:b w:val="false"/>
          <w:i w:val="false"/>
          <w:color w:val="000000"/>
          <w:sz w:val="28"/>
        </w:rPr>
        <w:t xml:space="preserve">
      37. Мониторинг документов, принимаемых по результатам аудита эффективности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Правилами проведения внутреннего государственного аудита.</w:t>
      </w:r>
    </w:p>
    <w:bookmarkEnd w:id="121"/>
    <w:bookmarkStart w:name="z135" w:id="122"/>
    <w:p>
      <w:pPr>
        <w:spacing w:after="0"/>
        <w:ind w:left="0"/>
        <w:jc w:val="both"/>
      </w:pPr>
      <w:r>
        <w:rPr>
          <w:rFonts w:ascii="Times New Roman"/>
          <w:b w:val="false"/>
          <w:i w:val="false"/>
          <w:color w:val="000000"/>
          <w:sz w:val="28"/>
        </w:rPr>
        <w:t>
      38. При необходимости СВА проводится аудиторское мероприятие по выполнению объектами государственного аудита рекомендаций, сформированных по итогам аудита эффективности, проведенных за определенный промежуток времени.</w:t>
      </w:r>
    </w:p>
    <w:bookmarkEnd w:id="122"/>
    <w:p>
      <w:pPr>
        <w:spacing w:after="0"/>
        <w:ind w:left="0"/>
        <w:jc w:val="both"/>
      </w:pPr>
      <w:r>
        <w:rPr>
          <w:rFonts w:ascii="Times New Roman"/>
          <w:b w:val="false"/>
          <w:i w:val="false"/>
          <w:color w:val="000000"/>
          <w:sz w:val="28"/>
        </w:rPr>
        <w:t>
      К проведению аудиторских и аналитических процедур по реализации итогов аудита эффективности привлекаются государственные аудиторы, которые принимали непосредственное участие в проведении аудита эффективности и (или) другие государственные аудиторы СВА.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3"/>
    <w:p>
      <w:pPr>
        <w:spacing w:after="0"/>
        <w:ind w:left="0"/>
        <w:jc w:val="both"/>
      </w:pPr>
      <w:r>
        <w:rPr>
          <w:rFonts w:ascii="Times New Roman"/>
          <w:b w:val="false"/>
          <w:i w:val="false"/>
          <w:color w:val="000000"/>
          <w:sz w:val="28"/>
        </w:rPr>
        <w:t>
      39. Лицом, ответственным за проведение аудиторского мероприятия в течение 5 (пяти) рабочих дней со дня получения информации (подтверждающих документов) от объекта государственного аудита проводится мониторинг исполнения рекомендаций на предмет своевременности и полноты их выполнения объектом государственного аудита.</w:t>
      </w:r>
    </w:p>
    <w:bookmarkEnd w:id="123"/>
    <w:p>
      <w:pPr>
        <w:spacing w:after="0"/>
        <w:ind w:left="0"/>
        <w:jc w:val="both"/>
      </w:pPr>
      <w:r>
        <w:rPr>
          <w:rFonts w:ascii="Times New Roman"/>
          <w:b w:val="false"/>
          <w:i w:val="false"/>
          <w:color w:val="000000"/>
          <w:sz w:val="28"/>
        </w:rPr>
        <w:t>
      При полном рассмотрении рекомендаций и устранения нарушений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привлечения к ответственности виновных лиц, составляется и подписывается руководителем группы государственного аудита справка о завершении аудиторского мероприятия по форме, утвержденной Правилами проведения внутреннего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40. Руководитель СВА отчитывается перед руководителем центрального государственного органа или акимом области, городов республиканского значения, столицы о результатах аудита эффективности и влиянии исполненных рекомендаций на внутренние процедуры, бизнес-процессы по повышению эффективности работы, достижению прямых и конечных результатов деятельности объекта государственного аудита.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