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3d68" w14:textId="14c3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5 ноября 2018 года № 59. Зарегистрирован в Министерстве юстиции Республики Казахстан 26 ноября 2018 года № 17790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 (зарегистрирован в Реестре государственной регистрации нормативных правовых актов за № 14167, опубликован 9 сентября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2,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Комитет по правовой статистике </w:t>
      </w:r>
      <w:r>
        <w:br/>
      </w:r>
      <w:r>
        <w:rPr>
          <w:rFonts w:ascii="Times New Roman"/>
          <w:b w:val="false"/>
          <w:i w:val="false"/>
          <w:color w:val="000000"/>
          <w:sz w:val="28"/>
        </w:rPr>
        <w:t>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2018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18" w:id="10"/>
    <w:p>
      <w:pPr>
        <w:spacing w:after="0"/>
        <w:ind w:left="0"/>
        <w:jc w:val="left"/>
      </w:pPr>
      <w:r>
        <w:rPr>
          <w:rFonts w:ascii="Times New Roman"/>
          <w:b/>
          <w:i w:val="false"/>
          <w:color w:val="000000"/>
        </w:rPr>
        <w:t xml:space="preserve">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(далее – Закон)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w:t>
      </w:r>
    </w:p>
    <w:bookmarkEnd w:id="12"/>
    <w:bookmarkStart w:name="z21" w:id="13"/>
    <w:p>
      <w:pPr>
        <w:spacing w:after="0"/>
        <w:ind w:left="0"/>
        <w:jc w:val="both"/>
      </w:pPr>
      <w:r>
        <w:rPr>
          <w:rFonts w:ascii="Times New Roman"/>
          <w:b w:val="false"/>
          <w:i w:val="false"/>
          <w:color w:val="000000"/>
          <w:sz w:val="28"/>
        </w:rPr>
        <w:t>
      2. В данных Критериях использованы следующие понятия:</w:t>
      </w:r>
    </w:p>
    <w:bookmarkEnd w:id="13"/>
    <w:bookmarkStart w:name="z22" w:id="14"/>
    <w:p>
      <w:pPr>
        <w:spacing w:after="0"/>
        <w:ind w:left="0"/>
        <w:jc w:val="both"/>
      </w:pPr>
      <w:r>
        <w:rPr>
          <w:rFonts w:ascii="Times New Roman"/>
          <w:b w:val="false"/>
          <w:i w:val="false"/>
          <w:color w:val="000000"/>
          <w:sz w:val="28"/>
        </w:rPr>
        <w:t>
      1) субъект контроля – индивидуальные предприниматели и юридические лица, в том числе филиалы и представительства юридических лиц, являющиеся субъектами естественной монополии и (или) общественно значимых рынков;</w:t>
      </w:r>
    </w:p>
    <w:bookmarkEnd w:id="14"/>
    <w:bookmarkStart w:name="z23" w:id="15"/>
    <w:p>
      <w:pPr>
        <w:spacing w:after="0"/>
        <w:ind w:left="0"/>
        <w:jc w:val="both"/>
      </w:pPr>
      <w:r>
        <w:rPr>
          <w:rFonts w:ascii="Times New Roman"/>
          <w:b w:val="false"/>
          <w:i w:val="false"/>
          <w:color w:val="000000"/>
          <w:sz w:val="28"/>
        </w:rPr>
        <w:t>
      2) незначительные нарушения – ненадлежащее размещение, доведение до сведения и уведомление потребителей и предоставление субъектами естественных монополий и общественно значимых рынков информации, отчета, уведомлений, за исключением направления предварительного уведомления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 которое относится к значительным нарушениям, сведений, несоблюдение стандартов оказания услуг и не проведение ежегодного аудита;</w:t>
      </w:r>
    </w:p>
    <w:bookmarkEnd w:id="15"/>
    <w:bookmarkStart w:name="z24" w:id="16"/>
    <w:p>
      <w:pPr>
        <w:spacing w:after="0"/>
        <w:ind w:left="0"/>
        <w:jc w:val="both"/>
      </w:pPr>
      <w:r>
        <w:rPr>
          <w:rFonts w:ascii="Times New Roman"/>
          <w:b w:val="false"/>
          <w:i w:val="false"/>
          <w:color w:val="000000"/>
          <w:sz w:val="28"/>
        </w:rPr>
        <w:t>
      3) значительные нарушения – неисполнение или ненадлежащее исполнение субъектами естественных монополий и общественно значимых рынков обязанностей и ограничений, регламентированных законодательством Республики Казахстан о естественных монополиях, за исключением обязанностей и ограничений предусматривающих получение необоснованного дохода (выручка); предоставление не равных условий потребителям регулируемых услуг (товаров, работ); наличие одной подтвержденной жалобы или обращения по несоблюдению требований законодательства Республики Казахстан о естественных монополиях и общественно значимых рынках;</w:t>
      </w:r>
    </w:p>
    <w:bookmarkEnd w:id="16"/>
    <w:bookmarkStart w:name="z25" w:id="17"/>
    <w:p>
      <w:pPr>
        <w:spacing w:after="0"/>
        <w:ind w:left="0"/>
        <w:jc w:val="both"/>
      </w:pPr>
      <w:r>
        <w:rPr>
          <w:rFonts w:ascii="Times New Roman"/>
          <w:b w:val="false"/>
          <w:i w:val="false"/>
          <w:color w:val="000000"/>
          <w:sz w:val="28"/>
        </w:rPr>
        <w:t>
      4) грубые нарушения – необоснованный доход (выручка), полученный субъектами естественных монополий и общественно значимых рынков в результате нарушения законодательства Республики Казахстан; не соблюдение субъектами требования о предоставлении равных условий потребителям регулируемых услуг (товаров, работ);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 и общественно значимых рынках;</w:t>
      </w:r>
    </w:p>
    <w:bookmarkEnd w:id="17"/>
    <w:bookmarkStart w:name="z26" w:id="18"/>
    <w:p>
      <w:pPr>
        <w:spacing w:after="0"/>
        <w:ind w:left="0"/>
        <w:jc w:val="both"/>
      </w:pPr>
      <w:r>
        <w:rPr>
          <w:rFonts w:ascii="Times New Roman"/>
          <w:b w:val="false"/>
          <w:i w:val="false"/>
          <w:color w:val="000000"/>
          <w:sz w:val="28"/>
        </w:rPr>
        <w:t>
      5) риск в сфере предоставления услуг (товаров, работ), отнесенных к естественным монополиям и общественно значимых рынков – вероятность причинения вреда законным интересам физических и юридических лиц;</w:t>
      </w:r>
    </w:p>
    <w:bookmarkEnd w:id="18"/>
    <w:bookmarkStart w:name="z27" w:id="19"/>
    <w:p>
      <w:pPr>
        <w:spacing w:after="0"/>
        <w:ind w:left="0"/>
        <w:jc w:val="both"/>
      </w:pPr>
      <w:r>
        <w:rPr>
          <w:rFonts w:ascii="Times New Roman"/>
          <w:b w:val="false"/>
          <w:i w:val="false"/>
          <w:color w:val="000000"/>
          <w:sz w:val="28"/>
        </w:rPr>
        <w:t xml:space="preserve">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 </w:t>
      </w:r>
    </w:p>
    <w:bookmarkEnd w:id="19"/>
    <w:bookmarkStart w:name="z28" w:id="20"/>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0"/>
    <w:bookmarkStart w:name="z29" w:id="21"/>
    <w:p>
      <w:pPr>
        <w:spacing w:after="0"/>
        <w:ind w:left="0"/>
        <w:jc w:val="both"/>
      </w:pPr>
      <w:r>
        <w:rPr>
          <w:rFonts w:ascii="Times New Roman"/>
          <w:b w:val="false"/>
          <w:i w:val="false"/>
          <w:color w:val="000000"/>
          <w:sz w:val="28"/>
        </w:rPr>
        <w:t>
      8)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21"/>
    <w:bookmarkStart w:name="z30" w:id="22"/>
    <w:p>
      <w:pPr>
        <w:spacing w:after="0"/>
        <w:ind w:left="0"/>
        <w:jc w:val="both"/>
      </w:pPr>
      <w:r>
        <w:rPr>
          <w:rFonts w:ascii="Times New Roman"/>
          <w:b w:val="false"/>
          <w:i w:val="false"/>
          <w:color w:val="000000"/>
          <w:sz w:val="28"/>
        </w:rPr>
        <w:t>
      9)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2"/>
    <w:bookmarkStart w:name="z31" w:id="23"/>
    <w:p>
      <w:pPr>
        <w:spacing w:after="0"/>
        <w:ind w:left="0"/>
        <w:jc w:val="both"/>
      </w:pPr>
      <w:r>
        <w:rPr>
          <w:rFonts w:ascii="Times New Roman"/>
          <w:b w:val="false"/>
          <w:i w:val="false"/>
          <w:color w:val="000000"/>
          <w:sz w:val="28"/>
        </w:rPr>
        <w:t>
      3. Профилактический контроль с посещением субъектов (объектов) контроля применяются в отношении субъекта контроля, отнесенного к высокой степени риска.</w:t>
      </w:r>
    </w:p>
    <w:bookmarkEnd w:id="23"/>
    <w:bookmarkStart w:name="z32" w:id="24"/>
    <w:p>
      <w:pPr>
        <w:spacing w:after="0"/>
        <w:ind w:left="0"/>
        <w:jc w:val="both"/>
      </w:pPr>
      <w:r>
        <w:rPr>
          <w:rFonts w:ascii="Times New Roman"/>
          <w:b w:val="false"/>
          <w:i w:val="false"/>
          <w:color w:val="000000"/>
          <w:sz w:val="28"/>
        </w:rPr>
        <w:t>
      Внеплановые проверки применяются в отношении субъектов (объектов) контроля, отнесенных к высокой и не высокой степени риска.</w:t>
      </w:r>
    </w:p>
    <w:bookmarkEnd w:id="24"/>
    <w:bookmarkStart w:name="z33" w:id="25"/>
    <w:p>
      <w:pPr>
        <w:spacing w:after="0"/>
        <w:ind w:left="0"/>
        <w:jc w:val="both"/>
      </w:pPr>
      <w:r>
        <w:rPr>
          <w:rFonts w:ascii="Times New Roman"/>
          <w:b w:val="false"/>
          <w:i w:val="false"/>
          <w:color w:val="000000"/>
          <w:sz w:val="28"/>
        </w:rPr>
        <w:t>
      4.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bookmarkEnd w:id="25"/>
    <w:bookmarkStart w:name="z34" w:id="26"/>
    <w:p>
      <w:pPr>
        <w:spacing w:after="0"/>
        <w:ind w:left="0"/>
        <w:jc w:val="left"/>
      </w:pPr>
      <w:r>
        <w:rPr>
          <w:rFonts w:ascii="Times New Roman"/>
          <w:b/>
          <w:i w:val="false"/>
          <w:color w:val="000000"/>
        </w:rPr>
        <w:t xml:space="preserve"> Глава 2. Объективные критерии</w:t>
      </w:r>
    </w:p>
    <w:bookmarkEnd w:id="26"/>
    <w:bookmarkStart w:name="z35" w:id="27"/>
    <w:p>
      <w:pPr>
        <w:spacing w:after="0"/>
        <w:ind w:left="0"/>
        <w:jc w:val="both"/>
      </w:pPr>
      <w:r>
        <w:rPr>
          <w:rFonts w:ascii="Times New Roman"/>
          <w:b w:val="false"/>
          <w:i w:val="false"/>
          <w:color w:val="000000"/>
          <w:sz w:val="28"/>
        </w:rPr>
        <w:t xml:space="preserve">
      5. В сферах естественных монополий и на общественно значимых рынках к высокой степени риска относятся субъекты естественных монополий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 и субъекты общественно значимого рынка. </w:t>
      </w:r>
    </w:p>
    <w:bookmarkEnd w:id="27"/>
    <w:bookmarkStart w:name="z36" w:id="28"/>
    <w:p>
      <w:pPr>
        <w:spacing w:after="0"/>
        <w:ind w:left="0"/>
        <w:jc w:val="both"/>
      </w:pPr>
      <w:r>
        <w:rPr>
          <w:rFonts w:ascii="Times New Roman"/>
          <w:b w:val="false"/>
          <w:i w:val="false"/>
          <w:color w:val="000000"/>
          <w:sz w:val="28"/>
        </w:rPr>
        <w:t xml:space="preserve">
      6. В сфере естественных монополий к субъектам (объектам) контроля, не отнесенным к высокой степени риска относятся вновь созданные субъекты естественных монополий, оказывающие регулируемые услуги отнесенные к сфере естественных монополий менее одного календарного года. </w:t>
      </w:r>
    </w:p>
    <w:bookmarkEnd w:id="28"/>
    <w:bookmarkStart w:name="z37" w:id="29"/>
    <w:p>
      <w:pPr>
        <w:spacing w:after="0"/>
        <w:ind w:left="0"/>
        <w:jc w:val="left"/>
      </w:pPr>
      <w:r>
        <w:rPr>
          <w:rFonts w:ascii="Times New Roman"/>
          <w:b/>
          <w:i w:val="false"/>
          <w:color w:val="000000"/>
        </w:rPr>
        <w:t xml:space="preserve"> Глава 3. Субъективные критерии</w:t>
      </w:r>
    </w:p>
    <w:bookmarkEnd w:id="29"/>
    <w:bookmarkStart w:name="z38" w:id="30"/>
    <w:p>
      <w:pPr>
        <w:spacing w:after="0"/>
        <w:ind w:left="0"/>
        <w:jc w:val="both"/>
      </w:pPr>
      <w:r>
        <w:rPr>
          <w:rFonts w:ascii="Times New Roman"/>
          <w:b w:val="false"/>
          <w:i w:val="false"/>
          <w:color w:val="000000"/>
          <w:sz w:val="28"/>
        </w:rPr>
        <w:t>
      7. Для определения субъективных критериев оценки степени рисков используются следующие источники информации:</w:t>
      </w:r>
    </w:p>
    <w:bookmarkEnd w:id="30"/>
    <w:bookmarkStart w:name="z39" w:id="31"/>
    <w:p>
      <w:pPr>
        <w:spacing w:after="0"/>
        <w:ind w:left="0"/>
        <w:jc w:val="both"/>
      </w:pPr>
      <w:r>
        <w:rPr>
          <w:rFonts w:ascii="Times New Roman"/>
          <w:b w:val="false"/>
          <w:i w:val="false"/>
          <w:color w:val="000000"/>
          <w:sz w:val="28"/>
        </w:rPr>
        <w:t>
      1) результаты предыдущего профилактического контроля с посещением субъектов (объектов) контроля. При этом, степень тяжести (грубое, значительное, незначительное) устанавливается в случае несоблюдения требований законодательства, отраженных в проверочных листах;</w:t>
      </w:r>
    </w:p>
    <w:bookmarkEnd w:id="31"/>
    <w:bookmarkStart w:name="z40" w:id="32"/>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bookmarkEnd w:id="32"/>
    <w:bookmarkStart w:name="z41" w:id="33"/>
    <w:p>
      <w:pPr>
        <w:spacing w:after="0"/>
        <w:ind w:left="0"/>
        <w:jc w:val="both"/>
      </w:pPr>
      <w:r>
        <w:rPr>
          <w:rFonts w:ascii="Times New Roman"/>
          <w:b w:val="false"/>
          <w:i w:val="false"/>
          <w:color w:val="000000"/>
          <w:sz w:val="28"/>
        </w:rPr>
        <w:t>
      3) результаты анализа официальных интернет-ресурсов и средств массовой информации;</w:t>
      </w:r>
    </w:p>
    <w:bookmarkEnd w:id="33"/>
    <w:bookmarkStart w:name="z42" w:id="34"/>
    <w:p>
      <w:pPr>
        <w:spacing w:after="0"/>
        <w:ind w:left="0"/>
        <w:jc w:val="both"/>
      </w:pPr>
      <w:r>
        <w:rPr>
          <w:rFonts w:ascii="Times New Roman"/>
          <w:b w:val="false"/>
          <w:i w:val="false"/>
          <w:color w:val="000000"/>
          <w:sz w:val="28"/>
        </w:rPr>
        <w:t>
      4)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bookmarkEnd w:id="34"/>
    <w:bookmarkStart w:name="z43" w:id="35"/>
    <w:p>
      <w:pPr>
        <w:spacing w:after="0"/>
        <w:ind w:left="0"/>
        <w:jc w:val="both"/>
      </w:pPr>
      <w:r>
        <w:rPr>
          <w:rFonts w:ascii="Times New Roman"/>
          <w:b w:val="false"/>
          <w:i w:val="false"/>
          <w:color w:val="000000"/>
          <w:sz w:val="28"/>
        </w:rPr>
        <w:t>
      8.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35"/>
    <w:bookmarkStart w:name="z44" w:id="36"/>
    <w:p>
      <w:pPr>
        <w:spacing w:after="0"/>
        <w:ind w:left="0"/>
        <w:jc w:val="both"/>
      </w:pPr>
      <w:r>
        <w:rPr>
          <w:rFonts w:ascii="Times New Roman"/>
          <w:b w:val="false"/>
          <w:i w:val="false"/>
          <w:color w:val="000000"/>
          <w:sz w:val="28"/>
        </w:rPr>
        <w:t>
      Субъективные критерии определены для субъектов естественных монополий согласно приложению 1 и за соблюдением порядка ценообразования и обязанностей субъекта общественно значимого рынка согласно приложению 2 к настоящим Критериям.</w:t>
      </w:r>
    </w:p>
    <w:bookmarkEnd w:id="36"/>
    <w:bookmarkStart w:name="z45" w:id="37"/>
    <w:p>
      <w:pPr>
        <w:spacing w:after="0"/>
        <w:ind w:left="0"/>
        <w:jc w:val="both"/>
      </w:pPr>
      <w:r>
        <w:rPr>
          <w:rFonts w:ascii="Times New Roman"/>
          <w:b w:val="false"/>
          <w:i w:val="false"/>
          <w:color w:val="000000"/>
          <w:sz w:val="28"/>
        </w:rPr>
        <w:t>
      9. Для отнесения субъекта контроля к степени риска применяется следующий порядок расчета показателя степени риска.</w:t>
      </w:r>
    </w:p>
    <w:bookmarkEnd w:id="37"/>
    <w:bookmarkStart w:name="z46" w:id="38"/>
    <w:p>
      <w:pPr>
        <w:spacing w:after="0"/>
        <w:ind w:left="0"/>
        <w:jc w:val="both"/>
      </w:pPr>
      <w:r>
        <w:rPr>
          <w:rFonts w:ascii="Times New Roman"/>
          <w:b w:val="false"/>
          <w:i w:val="false"/>
          <w:color w:val="000000"/>
          <w:sz w:val="28"/>
        </w:rPr>
        <w:t>
      При выявлении одного грубого нарушения, субъекту контроля присваивается показатель степени риска 100 и в отношении него проводится профилактический контроль с посещением субъекта (объекта) контроля.</w:t>
      </w:r>
    </w:p>
    <w:bookmarkEnd w:id="38"/>
    <w:bookmarkStart w:name="z47" w:id="39"/>
    <w:p>
      <w:pPr>
        <w:spacing w:after="0"/>
        <w:ind w:left="0"/>
        <w:jc w:val="both"/>
      </w:pPr>
      <w:r>
        <w:rPr>
          <w:rFonts w:ascii="Times New Roman"/>
          <w:b w:val="false"/>
          <w:i w:val="false"/>
          <w:color w:val="000000"/>
          <w:sz w:val="28"/>
        </w:rPr>
        <w:t xml:space="preserve">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 </w:t>
      </w:r>
    </w:p>
    <w:bookmarkEnd w:id="39"/>
    <w:bookmarkStart w:name="z48" w:id="4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40"/>
    <w:bookmarkStart w:name="z4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Р3 =(</w:t>
      </w:r>
      <w:r>
        <w:rPr>
          <w:rFonts w:ascii="Times New Roman"/>
          <w:b w:val="false"/>
          <w:i w:val="false"/>
          <w:color w:val="000000"/>
          <w:sz w:val="28"/>
        </w:rPr>
        <w:t>S</w:t>
      </w:r>
      <w:r>
        <w:rPr>
          <w:rFonts w:ascii="Times New Roman"/>
          <w:b w:val="false"/>
          <w:i w:val="false"/>
          <w:color w:val="000000"/>
          <w:sz w:val="28"/>
        </w:rPr>
        <w:t>P2 х 100/</w:t>
      </w:r>
      <w:r>
        <w:rPr>
          <w:rFonts w:ascii="Times New Roman"/>
          <w:b w:val="false"/>
          <w:i w:val="false"/>
          <w:color w:val="000000"/>
          <w:sz w:val="28"/>
        </w:rPr>
        <w:t>S</w:t>
      </w:r>
      <w:r>
        <w:rPr>
          <w:rFonts w:ascii="Times New Roman"/>
          <w:b w:val="false"/>
          <w:i w:val="false"/>
          <w:color w:val="000000"/>
          <w:sz w:val="28"/>
        </w:rPr>
        <w:t>Р1) х 0,7,</w:t>
      </w:r>
    </w:p>
    <w:bookmarkEnd w:id="41"/>
    <w:bookmarkStart w:name="z50" w:id="42"/>
    <w:p>
      <w:pPr>
        <w:spacing w:after="0"/>
        <w:ind w:left="0"/>
        <w:jc w:val="both"/>
      </w:pPr>
      <w:r>
        <w:rPr>
          <w:rFonts w:ascii="Times New Roman"/>
          <w:b w:val="false"/>
          <w:i w:val="false"/>
          <w:color w:val="000000"/>
          <w:sz w:val="28"/>
        </w:rPr>
        <w:t>
      где:</w:t>
      </w:r>
    </w:p>
    <w:bookmarkEnd w:id="42"/>
    <w:bookmarkStart w:name="z51"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43"/>
    <w:bookmarkStart w:name="z5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44"/>
    <w:bookmarkStart w:name="z53"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45"/>
    <w:bookmarkStart w:name="z54" w:id="4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46"/>
    <w:bookmarkStart w:name="z5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47"/>
    <w:bookmarkStart w:name="z56" w:id="48"/>
    <w:p>
      <w:pPr>
        <w:spacing w:after="0"/>
        <w:ind w:left="0"/>
        <w:jc w:val="both"/>
      </w:pPr>
      <w:r>
        <w:rPr>
          <w:rFonts w:ascii="Times New Roman"/>
          <w:b w:val="false"/>
          <w:i w:val="false"/>
          <w:color w:val="000000"/>
          <w:sz w:val="28"/>
        </w:rPr>
        <w:t>
      где:</w:t>
      </w:r>
    </w:p>
    <w:bookmarkEnd w:id="48"/>
    <w:bookmarkStart w:name="z57"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49"/>
    <w:bookmarkStart w:name="z58"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50"/>
    <w:bookmarkStart w:name="z59"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51"/>
    <w:bookmarkStart w:name="z60" w:id="52"/>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52"/>
    <w:bookmarkStart w:name="z61"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 ,</w:t>
      </w:r>
    </w:p>
    <w:bookmarkEnd w:id="53"/>
    <w:bookmarkStart w:name="z62" w:id="54"/>
    <w:p>
      <w:pPr>
        <w:spacing w:after="0"/>
        <w:ind w:left="0"/>
        <w:jc w:val="both"/>
      </w:pPr>
      <w:r>
        <w:rPr>
          <w:rFonts w:ascii="Times New Roman"/>
          <w:b w:val="false"/>
          <w:i w:val="false"/>
          <w:color w:val="000000"/>
          <w:sz w:val="28"/>
        </w:rPr>
        <w:t>
      где:</w:t>
      </w:r>
    </w:p>
    <w:bookmarkEnd w:id="54"/>
    <w:bookmarkStart w:name="z63"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55"/>
    <w:bookmarkStart w:name="z64"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56"/>
    <w:bookmarkStart w:name="z65"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57"/>
    <w:bookmarkStart w:name="z66" w:id="58"/>
    <w:p>
      <w:pPr>
        <w:spacing w:after="0"/>
        <w:ind w:left="0"/>
        <w:jc w:val="both"/>
      </w:pPr>
      <w:r>
        <w:rPr>
          <w:rFonts w:ascii="Times New Roman"/>
          <w:b w:val="false"/>
          <w:i w:val="false"/>
          <w:color w:val="000000"/>
          <w:sz w:val="28"/>
        </w:rPr>
        <w:t>
      Субъективные критерии оценки степени риска для субъектов естественных монополий, субъективные критерии за соблюдением порядка ценообразования и обязанностей субъекта общественно значимого рынка приведены в приложениях 1, 2 к настоящим критериям.</w:t>
      </w:r>
    </w:p>
    <w:bookmarkEnd w:id="58"/>
    <w:bookmarkStart w:name="z67" w:id="59"/>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59"/>
    <w:bookmarkStart w:name="z68" w:id="60"/>
    <w:p>
      <w:pPr>
        <w:spacing w:after="0"/>
        <w:ind w:left="0"/>
        <w:jc w:val="both"/>
      </w:pPr>
      <w:r>
        <w:rPr>
          <w:rFonts w:ascii="Times New Roman"/>
          <w:b w:val="false"/>
          <w:i w:val="false"/>
          <w:color w:val="000000"/>
          <w:sz w:val="28"/>
        </w:rPr>
        <w:t xml:space="preserve">
      1) к высокой степени риска –при показателе степени риска от 61 до 100 включительно и в отношении него проводится профилактический контроль с посещением субъекта (объекта) контроля; </w:t>
      </w:r>
    </w:p>
    <w:bookmarkEnd w:id="60"/>
    <w:bookmarkStart w:name="z69" w:id="61"/>
    <w:p>
      <w:pPr>
        <w:spacing w:after="0"/>
        <w:ind w:left="0"/>
        <w:jc w:val="both"/>
      </w:pPr>
      <w:r>
        <w:rPr>
          <w:rFonts w:ascii="Times New Roman"/>
          <w:b w:val="false"/>
          <w:i w:val="false"/>
          <w:color w:val="000000"/>
          <w:sz w:val="28"/>
        </w:rPr>
        <w:t>
      2) отнесенной к не высокой степени риска – при показателе степени риска от 0 до 60 и в отношении него не проводится профилактический контроль с посещением субъекта (объекта) контроля.</w:t>
      </w:r>
    </w:p>
    <w:bookmarkEnd w:id="61"/>
    <w:bookmarkStart w:name="z70" w:id="62"/>
    <w:p>
      <w:pPr>
        <w:spacing w:after="0"/>
        <w:ind w:left="0"/>
        <w:jc w:val="both"/>
      </w:pPr>
      <w:r>
        <w:rPr>
          <w:rFonts w:ascii="Times New Roman"/>
          <w:b w:val="false"/>
          <w:i w:val="false"/>
          <w:color w:val="000000"/>
          <w:sz w:val="28"/>
        </w:rPr>
        <w:t>
      10. При анализе и оценке не применяются данные субъективных критериев, ранее учтенных и использованных в отношении конкретного субъекта (объекта) контроля.</w:t>
      </w:r>
    </w:p>
    <w:bookmarkEnd w:id="62"/>
    <w:bookmarkStart w:name="z71" w:id="63"/>
    <w:p>
      <w:pPr>
        <w:spacing w:after="0"/>
        <w:ind w:left="0"/>
        <w:jc w:val="both"/>
      </w:pPr>
      <w:r>
        <w:rPr>
          <w:rFonts w:ascii="Times New Roman"/>
          <w:b w:val="false"/>
          <w:i w:val="false"/>
          <w:color w:val="000000"/>
          <w:sz w:val="28"/>
        </w:rPr>
        <w:t>
      11.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63"/>
    <w:bookmarkStart w:name="z72" w:id="64"/>
    <w:p>
      <w:pPr>
        <w:spacing w:after="0"/>
        <w:ind w:left="0"/>
        <w:jc w:val="both"/>
      </w:pPr>
      <w:r>
        <w:rPr>
          <w:rFonts w:ascii="Times New Roman"/>
          <w:b w:val="false"/>
          <w:i w:val="false"/>
          <w:color w:val="000000"/>
          <w:sz w:val="28"/>
        </w:rPr>
        <w:t xml:space="preserve">
      12.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64"/>
    <w:bookmarkStart w:name="z73" w:id="65"/>
    <w:p>
      <w:pPr>
        <w:spacing w:after="0"/>
        <w:ind w:left="0"/>
        <w:jc w:val="both"/>
      </w:pPr>
      <w:r>
        <w:rPr>
          <w:rFonts w:ascii="Times New Roman"/>
          <w:b w:val="false"/>
          <w:i w:val="false"/>
          <w:color w:val="000000"/>
          <w:sz w:val="28"/>
        </w:rPr>
        <w:t>
      13.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75" w:id="66"/>
    <w:p>
      <w:pPr>
        <w:spacing w:after="0"/>
        <w:ind w:left="0"/>
        <w:jc w:val="left"/>
      </w:pPr>
      <w:r>
        <w:rPr>
          <w:rFonts w:ascii="Times New Roman"/>
          <w:b/>
          <w:i w:val="false"/>
          <w:color w:val="000000"/>
        </w:rPr>
        <w:t xml:space="preserve"> Субъективные критерии для субъектов естественных монополий</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03"/>
        <w:gridCol w:w="12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Субъективные критерии</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изменении тарифов (цен, ставок сборов) или их предельных уровней не позднее чем за тридцать календарных дней до введения их в действие, а субъект естественной монополии малой мощности – не позднее чем за пятнадцать календарных дней до введения их в действие</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об оказании услуги, технологически связанной с регулируемыми услугами (товарами, работами), в уполномоченный орган, не менее чем за пятнадцать календарных дней до ее осуществления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передаче принадлежащего на праве собственности или ином законном основании имущества, используемого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уступке права требования, связанного с предоставляемыми регулируемыми услугами (товарами, работами)</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 включении в тарифы (цены, ставки сборов) или их предельные уровни на регулируемые услуги (товары, работы) затрат, не связанных с их предоставлением</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допущению нецелевого использования средств, предусмотренных в инвестиционных программах (проектах)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 признании коммерческой тайной информации: содержащейся в тарифной смете, 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 о предоставляемых регулируемых коммунальных услугах (товарах, работах)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направлении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закупок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раздельного учета доходов, затрат и задействованных активов по каждому виду регулируемых услуг (товаров, работ) и в целом по иной деятельности</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утвержденными уполномоченным органом, индивидуальных договоров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сотрудничества, утвержденными постановлением Правительства Республики Казахстан, договоров сотрудничества с органом управления объектом кондоминиума на каждый вид предоставляемых им регулируемых коммунальных услуг (товаров, работ)</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тарифов (цен, ставок сборов) или их предельных уровней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субъекта естественных монополий уменьшается, со дня введения в действие указанных изменений</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обязанности об отчуждении имущества, предназначенного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 а также передачи электрических сетей субъектами естественной монополии, оказывающими услугу по передаче электрической энергии</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методики ведения раздельного учета доходов, затрат и задействованных активов по видам регулируемых услуг субъектов естественных монополий</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наличия сверхнормативных потерь</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нормативных технических потерь на величину и в сроки, определенные уполномоченным органом</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Представление в уполномоченный орган предварительного уведомления либо ходатайства о даче согласия на:</w:t>
            </w:r>
            <w:r>
              <w:br/>
            </w:r>
            <w:r>
              <w:rPr>
                <w:rFonts w:ascii="Times New Roman"/>
                <w:b w:val="false"/>
                <w:i w:val="false"/>
                <w:color w:val="000000"/>
                <w:sz w:val="20"/>
              </w:rPr>
              <w:t>
</w:t>
            </w:r>
            <w:r>
              <w:rPr>
                <w:rFonts w:ascii="Times New Roman"/>
                <w:b w:val="false"/>
                <w:i w:val="false"/>
                <w:color w:val="000000"/>
                <w:sz w:val="20"/>
              </w:rPr>
              <w:t>1) совершение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w:t>
            </w:r>
            <w:r>
              <w:br/>
            </w:r>
            <w:r>
              <w:rPr>
                <w:rFonts w:ascii="Times New Roman"/>
                <w:b w:val="false"/>
                <w:i w:val="false"/>
                <w:color w:val="000000"/>
                <w:sz w:val="20"/>
              </w:rPr>
              <w:t>
</w:t>
            </w:r>
            <w:r>
              <w:rPr>
                <w:rFonts w:ascii="Times New Roman"/>
                <w:b w:val="false"/>
                <w:i w:val="false"/>
                <w:color w:val="000000"/>
                <w:sz w:val="20"/>
              </w:rPr>
              <w:t>2)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w:t>
            </w:r>
            <w:r>
              <w:br/>
            </w:r>
            <w:r>
              <w:rPr>
                <w:rFonts w:ascii="Times New Roman"/>
                <w:b w:val="false"/>
                <w:i w:val="false"/>
                <w:color w:val="000000"/>
                <w:sz w:val="20"/>
              </w:rPr>
              <w:t>
3) реорганизации и ликвидации субъекта естественной монополии</w:t>
            </w:r>
          </w:p>
          <w:bookmarkEnd w:id="67"/>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обязанности о возврате средств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обязанности по обращению вновь созданным субъектом не позднее девяти месяцев со дня утверждения тарифов (цен, ставок) и тарифных смет на регулируемые услуги (товаров, работ) с заявкой для их пересмотра</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регулируемых услуг (товаров, работ) по тарифам (ценам, ставкам сборов), утвержденным уполномоченным органом, за исключением случаев предоставления регулируемых услуг по предельным уровням тарифов (цен, ставок сборов)</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взиманию за регулируемые услуги (товары, работы) платы, превышающей размер, установленный уполномоченным органом</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взиманию дополнительной платы или иному навязыванию дополнительных обязательств,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навязыванию условий доступа к регулируемым услугам (товарам, работам) субъектов естественных монополий или совершению иных действий, ведущих к дискриминации потребителей</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отказу в предоставлении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требованию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всеобщего обслуживания потребителей регулируемых услуг (товаров, работ) в соответствии с требованиями к качеству предоставляемых регулируемых услуг (товаров, работ)</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приема платежей от потребителей за предоставляемые субъектом естественных монополий регулируемые коммунальные услуги (товары, работы) через собственные кассы, а также банки и организации, осуществляющие отдельные виды банковских операций, интернет-ресурсы и (или) терминалы. Данное требование не распространяется на субъектов естественных монополий малой мощности</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равных условий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уполномоченным органом, за исключением доступа к услугам по транспортировке продукции по магистральным трубопроводам</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случае утверждения предельного уровня тарифа (цены, ставки сбора) для всех потребителей регулируемых услуг (товаров, работ) по единым уровням тарифов (цен, ставок сборов), не превышающим предельный уровень тарифа (цены, ставки сбора)</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приобретении и установке потребителям приборов учета регулируемых коммунальных услуг (товаров, работ)</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взимании платы, за предоставляемые регулируемые коммунальные услуги (товары, работы) по среднемесячным показаниям приборов учета, в случае выхода прибора учета из строя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нарушения прав потребителей при заключении договоров на предоставление регулируемых услуг (товаров, работ)</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регулируемых услуг по предельным уровням тарифа (ценам, ставкам сборов).</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тарифной сметы, за исключением самостоятельного распоряжения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направленных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утвержденных в установленном порядке инвестиционных программ (проектов) и приоритетное направление средств, предусмотренных инвестиционной программой (проектом),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восстановление, обновление, расширение, поддержку существующих активов, реконструкцию, техническое перевооружение основных средств субъекта естественной монополии</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результатам мониторинга отчетности и сведений, представляемых субъектом (объектом) контроля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в период реализации инвестиционной программы (проекта), отчета об исполнении инвестиционной программы (проекта) в срок до 1 мая года, следующего за отчетным периодом</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ежегодного отчета об исполнении тарифной сметы до 1 мая года, следующего за отчетным периодом</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в средствах массовой информации, в том числе на своем интернет-ресурсе либо интернет-ресурсе уполномоченного органа отчета об исполнении инвестиционной программы (проекта) не позднее 1 июля года, следующего за отчетным периодом</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уведомление уполномоченного органа и потребителей о снижении тарифов (цен, ставок сборов) не позднее чем за десять дней до введения их в действие</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в месячный срок со дня получения субъектом естественных монополий соответствующего требования экономически обоснованных расчетов и информации в том же объеме, что и при подаче заявки для утверждения нового тарифа (цены, ставки сбора), при пересмотре тарифов (цен, ставок сборов) или их предельных уровней и тарифных смет по инициативе уполномоченного органа</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результатам анализа официальных интернет-ресурсов и средств массовой информации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обязательного ежегодного аудита аудиторскими организациями для субъектов естественных монополий, которые являются акционерными обществами, с размещением на интернет-ресурсе субъекта естественных монополий опубликованием его в периодических печатных изданиях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на своем интернет-ресурсе либо интернет-ресурсе уполномоченного органа отчета об исполнении тарифной сметы</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на своем интернет-ресурсе, либо в случае отсутствия своего интернет-ресурса, предоставлять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пропускной способности сетей, а также схемах инженерных коммуникаций регулируемых коммунальных услуг (товаров, работ), за исключением сведений, относящихся к государственным секретам и иной охраняемой тайне, в соответствии с законами Республики Казахстан</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представления сведений об инженерных коммуникациях по запросам, в том числе на своем интернет-ресурсе</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ежегодного отчета о деятельности по предоставлению регулируемых услуг (товаров, работ) перед потребителями и иными заинтересованными лицами с обоснованиями и размещением их в средствах массовой информации, в том числе на своем интернет-ресурсе либо интернет-ресурсе уполномоченного органа, не позднее пяти календарных дней с момента проведения отчета</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о естественных монополиях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 и</w:t>
            </w:r>
            <w:r>
              <w:br/>
            </w:r>
            <w:r>
              <w:rPr>
                <w:rFonts w:ascii="Times New Roman"/>
                <w:b w:val="false"/>
                <w:i w:val="false"/>
                <w:color w:val="000000"/>
                <w:sz w:val="20"/>
              </w:rPr>
              <w:t>обязанностей субъекта</w:t>
            </w:r>
            <w:r>
              <w:br/>
            </w:r>
            <w:r>
              <w:rPr>
                <w:rFonts w:ascii="Times New Roman"/>
                <w:b w:val="false"/>
                <w:i w:val="false"/>
                <w:color w:val="000000"/>
                <w:sz w:val="20"/>
              </w:rPr>
              <w:t>общественно значимого рынка</w:t>
            </w:r>
          </w:p>
        </w:tc>
      </w:tr>
    </w:tbl>
    <w:bookmarkStart w:name="z80" w:id="68"/>
    <w:p>
      <w:pPr>
        <w:spacing w:after="0"/>
        <w:ind w:left="0"/>
        <w:jc w:val="left"/>
      </w:pPr>
      <w:r>
        <w:rPr>
          <w:rFonts w:ascii="Times New Roman"/>
          <w:b/>
          <w:i w:val="false"/>
          <w:color w:val="000000"/>
        </w:rPr>
        <w:t xml:space="preserve"> Субъективные критерии за соблюдением порядка ценообразования и обязанностей субъекта общественно значимого рынка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0810"/>
        <w:gridCol w:w="378"/>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Субъективные критерии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уведомлении уполномоченного органа в письменном виде или в форме электронного документа через систему электронного документооборота уполномоченного органа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документов и сведений, в рамках экспертизы цены, либо уведомления с приложением к нему обосновывающих материалов, подтверждающих причины повышения предельной цены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 не превышая предельной цены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раздельного учета затрат по каждому виду, товаров (работ, услуг) для формирования предельной цены, при его наличии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представлении по требованию участников публичных слушаний до проведения публичных слушаний проектов цен на товары (работы, услуги), информацию о причинах повышения цен на товары (работы, услуги) с экономически обоснованными расчетами, после опубликования информации о дате проведения публичных слушаний</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возврате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возврате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случае невозможности установления полного перечня потребителей</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инвестиционной программы (проекта), учтенные в предельных ценах на общественно значимых рынках</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результатам мониторинга отчетности и сведений, представляемых субъектом</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предоставление в уполномоченный орган ежеквартальной финансовой отчетности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предоставление в уполномоченный орган информации, необходимой для проведения экспертизы цены, на бумажном и (или) электронном носителях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предоставление полугодовой информации об исполнении или неисполнении инвестиционной программы (проекта), учтенной в предельной цене, по форме, утвержденной уполномоченным органом и размещение в средствах массовой информации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требования о предоставлении в уполномоченный орган ежемесячной информации об объемах производства (реализации), уровне доходности и отпускных ценах производимых (реализуемых) товаров (работ, услуг)</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в области общественно значимых рынков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в области общественно значимых рынков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2018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83" w:id="69"/>
    <w:p>
      <w:pPr>
        <w:spacing w:after="0"/>
        <w:ind w:left="0"/>
        <w:jc w:val="left"/>
      </w:pPr>
      <w:r>
        <w:rPr>
          <w:rFonts w:ascii="Times New Roman"/>
          <w:b/>
          <w:i w:val="false"/>
          <w:color w:val="000000"/>
        </w:rPr>
        <w:t xml:space="preserve">                    Проверочный лист в сферах естественных монополий</w:t>
      </w:r>
    </w:p>
    <w:bookmarkEnd w:id="69"/>
    <w:bookmarkStart w:name="z84" w:id="70"/>
    <w:p>
      <w:pPr>
        <w:spacing w:after="0"/>
        <w:ind w:left="0"/>
        <w:jc w:val="both"/>
      </w:pPr>
      <w:r>
        <w:rPr>
          <w:rFonts w:ascii="Times New Roman"/>
          <w:b w:val="false"/>
          <w:i w:val="false"/>
          <w:color w:val="000000"/>
          <w:sz w:val="28"/>
        </w:rPr>
        <w:t>
      в отношении __субъектов естественных монополий___________________________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85"/>
        <w:gridCol w:w="107"/>
        <w:gridCol w:w="157"/>
        <w:gridCol w:w="158"/>
        <w:gridCol w:w="21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изменении тарифов (цен, ставок сборов) или их предельных уровней не позднее чем за тридцать календарных дней до введения их в действие, а субъект естественной монополии малой мощности – не позднее чем за пятнадцать календарных дней до введения их в действие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об оказании услуги, технологически связанной с регулируемыми услугами (товарами, работами), в уполномоченный орган, не менее чем за пятнадцать календарных дней до ее осуществления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передаче принадлежащего на праве собственности или ином законном основании имущества, используемого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уступке права требования, связанного с предоставляемыми регулируемыми услугами (товарами, работами)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 включении в тарифы (цены, ставки сборов) или их предельные уровни на регулируемые услуги (товары, работы) затрат, не связанных с их предоставлением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допущению нецелевого использования средств, предусмотренных в инвестиционных программах (проектах)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 признании коммерческой тайной информации: содержащейся в тарифной смете, 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 о предоставляемых регулируемых коммунальных услугах (товарах, работах)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направлении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закупок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раздельного учета доходов, затрат и задействованных активов по каждому виду регулируемых услуг (товаров, работ) и в целом по иной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утвержденными уполномоченным органом, индивидуальных договоров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сотрудничества, утвержденными постановлением Правительства Республики Казахстан, договоров сотрудничества с органом управления объектом кондоминиума на каждый вид предоставляемых им регулируемых коммунальных услуг (товаров,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тарифов (цен, ставок сборов) или их предельных уровней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субъекта естественных монополий уменьшается, со дня введения в действие указанных изменений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обязанности об отчуждении имущества, предназначенного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 а также передачи электрических сетей субъектами естественной монополии, оказывающими услугу по передаче электрической энергии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методики ведения раздельного учета доходов, затрат и задействованных активов по видам регулируемых услуг субъектов естественных монополий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наличия сверхнормативных потерь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нормативных технических потерь на величину и в сроки, определенные уполномоченным органом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Представление в уполномоченный орган предварительного уведомления либо ходатайства о даче согласия на:</w:t>
            </w:r>
            <w:r>
              <w:br/>
            </w:r>
            <w:r>
              <w:rPr>
                <w:rFonts w:ascii="Times New Roman"/>
                <w:b w:val="false"/>
                <w:i w:val="false"/>
                <w:color w:val="000000"/>
                <w:sz w:val="20"/>
              </w:rPr>
              <w:t>
</w:t>
            </w:r>
            <w:r>
              <w:rPr>
                <w:rFonts w:ascii="Times New Roman"/>
                <w:b w:val="false"/>
                <w:i w:val="false"/>
                <w:color w:val="000000"/>
                <w:sz w:val="20"/>
              </w:rPr>
              <w:t>1) совершение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w:t>
            </w:r>
            <w:r>
              <w:br/>
            </w:r>
            <w:r>
              <w:rPr>
                <w:rFonts w:ascii="Times New Roman"/>
                <w:b w:val="false"/>
                <w:i w:val="false"/>
                <w:color w:val="000000"/>
                <w:sz w:val="20"/>
              </w:rPr>
              <w:t>
</w:t>
            </w:r>
            <w:r>
              <w:rPr>
                <w:rFonts w:ascii="Times New Roman"/>
                <w:b w:val="false"/>
                <w:i w:val="false"/>
                <w:color w:val="000000"/>
                <w:sz w:val="20"/>
              </w:rPr>
              <w:t>2)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w:t>
            </w:r>
            <w:r>
              <w:br/>
            </w:r>
            <w:r>
              <w:rPr>
                <w:rFonts w:ascii="Times New Roman"/>
                <w:b w:val="false"/>
                <w:i w:val="false"/>
                <w:color w:val="000000"/>
                <w:sz w:val="20"/>
              </w:rPr>
              <w:t>
3) реорганизации и ликвидации субъекта естественной монополии</w:t>
            </w:r>
          </w:p>
          <w:bookmarkEnd w:id="7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обязанности о возврате средств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обязанности по обращению вновь созданным субъектом не позднее девяти месяцев со дня утверждения тарифов (цен, ставок) и тарифных смет на регулируемые услуги (товаров, работ) с заявкой для их пересмотра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регулируемых услуг (товаров, работ) по тарифам (ценам, ставкам сборов), утвержденным уполномоченным органом, за исключением случаев предоставления регулируемых услуг по предельным уровням тарифов (цен, ставок сборов)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взиманию за регулируемые услуги (товары, работы) платы, превышающей размер, установленный уполномоченным органом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взиманию дополнительной платы или иному навязыванию дополнительных обязательств,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навязыванию условий доступа к регулируемым услугам (товарам, работам) субъектов естественных монополий или совершению иных действий, ведущих к дискриминации потребителей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отказу в предоставлении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требованию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всеобщего обслуживания потребителей регулируемых услуг (товаров, работ) в соответствии с требованиями к качеству предоставляемых регулируемых услуг (товаров,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приема платежей от потребителей за предоставляемые субъектом естественных монополий регулируемые коммунальные услуги (товары, работы) через собственные кассы, а также банки и организации, осуществляющие отдельные виды банковских операций, интернет-ресурсы и (или) терминалы. Данное требование не распространяется на субъектов естественных монополий малой мощности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равных условий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уполномоченным органом, за исключением доступа к услугам по транспортировке продукции по магистральным трубопроводам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случае утверждения предельного уровня тарифа (цены, ставки сбора) для всех потребителей регулируемых услуг (товаров, работ) по единым уровням тарифов (цен, ставок сборов), не превышающим предельный уровень тарифа (цены, ставки сбора)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приобретении и установке потребителям приборов учета регулируемых коммунальных услуг (товаров,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взимании платы, за предоставляемые регулируемые коммунальные услуги (товары, работы) по среднемесячным показаниям приборов учета, в случае выхода прибора учета из строя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нарушения прав потребителей при заключении договоров на предоставление регулируемых услуг (товаров,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регулируемых услуг по предельным уровням тарифа (ценам, ставкам сборов).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тарифной сметы, за исключением самостоятельного распоряжения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направленных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утвержденных в установленном порядке инвестиционных программ (проектов) и приоритетное направление средств, предусмотренных инвестиционной программой (проектом),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восстановление, обновление, расширение, поддержку существующих активов, реконструкцию, техническое перевооружение основных средств субъекта естественной монополии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72"/>
    <w:p>
      <w:pPr>
        <w:spacing w:after="0"/>
        <w:ind w:left="0"/>
        <w:jc w:val="both"/>
      </w:pPr>
      <w:r>
        <w:rPr>
          <w:rFonts w:ascii="Times New Roman"/>
          <w:b w:val="false"/>
          <w:i w:val="false"/>
          <w:color w:val="000000"/>
          <w:sz w:val="28"/>
        </w:rPr>
        <w:t>
      Должностное (ые) лицо (а) 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5 ноября 2018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91" w:id="73"/>
    <w:p>
      <w:pPr>
        <w:spacing w:after="0"/>
        <w:ind w:left="0"/>
        <w:jc w:val="left"/>
      </w:pPr>
      <w:r>
        <w:rPr>
          <w:rFonts w:ascii="Times New Roman"/>
          <w:b/>
          <w:i w:val="false"/>
          <w:color w:val="000000"/>
        </w:rPr>
        <w:t xml:space="preserve">                    Проверочный лист за соблюдением порядка ценообразования и</w:t>
      </w:r>
      <w:r>
        <w:br/>
      </w:r>
      <w:r>
        <w:rPr>
          <w:rFonts w:ascii="Times New Roman"/>
          <w:b/>
          <w:i w:val="false"/>
          <w:color w:val="000000"/>
        </w:rPr>
        <w:t xml:space="preserve">                         обязанностей субъекта общественно значимого рынка</w:t>
      </w:r>
    </w:p>
    <w:bookmarkEnd w:id="73"/>
    <w:bookmarkStart w:name="z92" w:id="74"/>
    <w:p>
      <w:pPr>
        <w:spacing w:after="0"/>
        <w:ind w:left="0"/>
        <w:jc w:val="both"/>
      </w:pPr>
      <w:r>
        <w:rPr>
          <w:rFonts w:ascii="Times New Roman"/>
          <w:b w:val="false"/>
          <w:i w:val="false"/>
          <w:color w:val="000000"/>
          <w:sz w:val="28"/>
        </w:rPr>
        <w:t>
      в отношении __субъектов общественно значимых рынков______________________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9779"/>
        <w:gridCol w:w="287"/>
        <w:gridCol w:w="468"/>
        <w:gridCol w:w="468"/>
        <w:gridCol w:w="650"/>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уведомлении уполномоченного органа в письменном виде или в форме электронного документа через систему электронного документооборота уполномоченного органа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документов и сведений, в рамках экспертизы цены, либо уведомления с приложением к нему обосновывающих материалов, подтверждающих причины повышения предельной цены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 не превышая предельной цены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раздельного учета затрат по каждому виду, товаров (работ, услуг) для формирования предельной цены, при его наличии</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представлении по требованию участников публичных слушаний до проведения публичных слушаний проектов цен на товары (работы, услуги), информацию о причинах повышения цен на товары (работы, услуги) с экономически обоснованными расчетами, после опубликования информации о дате проведения публичных слушаний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возврате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рынков</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возврате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случае невозможности установления полного перечня потребителей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инвестиционной программы (проекта), учтенные в предельных ценах на общественно значимых рынках</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75"/>
    <w:p>
      <w:pPr>
        <w:spacing w:after="0"/>
        <w:ind w:left="0"/>
        <w:jc w:val="both"/>
      </w:pPr>
      <w:r>
        <w:rPr>
          <w:rFonts w:ascii="Times New Roman"/>
          <w:b w:val="false"/>
          <w:i w:val="false"/>
          <w:color w:val="000000"/>
          <w:sz w:val="28"/>
        </w:rPr>
        <w:t>
      Должностное (ые) лицо (а) 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