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558ab" w14:textId="85558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совместный приказ Заместителя Премьер-Министра Республики Казахстан – Министра сельского хозяйства Республики Казахстан от 12 августа 2016 года № 358 и исполняющего обязанности Министра национальной экономики Республики Казахстан от 24 августа 2016 года № 381 "Об утверждении критериев оценки степени риска и проверочного листа в сфере государственного контроля в области производства биотоплива"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Заместителя Премьер-Министра Республики Казахстан - Министра сельского хозяйства Республики Казахстан от 30 ноября 2018 года № 483 и Министра национальной экономики Республики Казахстан от 30 ноября 2018 года № 92. Зарегистрирован в Министерстве юстиции Республики Казахстан 30 ноября 2018 года № 17833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ПРИКАЗЫВАЕМ: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совместный 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Премьер-Министра Республики Казахстан – Министра сельского хозяйства Республики Казахстан от 12 августа 2016 года № 358 и исполняющего обязанности Министра национальной экономики Республики Казахстан от 24 августа 2016 года № 381 "Об утверждении критериев оценки степени риска и проверочного листа в сфере государственного контроля в области производства биотоплива" (зарегистрирован в Реестре государственной регистрации нормативных правовых актов под № 14272, опубликован 13 октября 2016 года в информационно-правовой системе "Әділет")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критерии оценки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степени риска в области производства биотоплива, утвержденные указанным совместным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проверочный лист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сфере государственного контроля в области производства биотоплива, утвержденный указанным совместным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приказу.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производства и переработки растениеводческой продукции Министерства сельского хозяйства Республики Казахстан в установленном законодательством порядке обеспечить: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совместного приказа в Министерстве юстиции Республики Казахстан;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совместного приказа направление его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со дня государственной регистрации настоящего совместного приказа направление его копии на официальное опубликование в периодические печатные издания;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совместного приказа на интернет-ресурсе Министерства сельского хозяйства Республики Казахстан;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течение десяти рабочих дней после государственной регистрации настоящего совместного приказа в Министерстве юстиции Республики Казахстан представление в Департамент юридической службы Министерства сельского хозяйства Республики Казахстан сведений об исполнении мероприятий, предусмотренных подпунктами 1), 2), 3) и 4) настоящего пункта.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совместного приказа возложить на курирующего вице-министра сельского хозяйства Республики Казахстан. 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совместный приказ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87"/>
        <w:gridCol w:w="4813"/>
      </w:tblGrid>
      <w:tr>
        <w:trPr>
          <w:trHeight w:val="30" w:hRule="atLeast"/>
        </w:trPr>
        <w:tc>
          <w:tcPr>
            <w:tcW w:w="7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Заместитель Премьер-Министра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 –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Министр сельского хозяйства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У. Шукеев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Министр национальной экономики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Т. Сулейменов</w:t>
            </w:r>
          </w:p>
        </w:tc>
      </w:tr>
    </w:tbl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Комитет по правовой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статистике и специальным учетам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Генеральной прокуратуры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Премьер–Министра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2018 года № 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Министра 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2018 года № 92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Заместителя Премьер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Республики Казахстан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августа 2016 года № 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августа 2016 года № 381</w:t>
            </w:r>
          </w:p>
        </w:tc>
      </w:tr>
    </w:tbl>
    <w:bookmarkStart w:name="z19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Критерии оценки степени риска в области производства биотоплива</w:t>
      </w:r>
    </w:p>
    <w:bookmarkEnd w:id="11"/>
    <w:bookmarkStart w:name="z20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Критерии оценки степени риска в области производства биотоплива (далее – критерии)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141,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143 Предпринимательского кодекса Республики Казахстан от 29 октября 2015 года и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формирования государственными органами системы оценки рисков и формы проверочных листов, утвержденными приказом исполняющего обязанности Министра национальной экономики Республики Казахстан от 31 июля 2018 года № 3 (зарегистрирован в Реестре государственной регистрации нормативных правовых актов за № 17371), в целях отнесения субъектов (объектов) контроля в области производства биотоплива к степеням риска.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критериях используются следующие понятия: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субъекты (объекты) контроля – юридические лица, осуществляющие производство биотоплива;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риск в области производства биотоплива – вероятность возникновения угрозы продовольственной безопасности на территории республики в связи с использованием пищевого сырья на биотопливо;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незначительное нарушение – нарушение требований, установленных нормативными правовыми актами в области биотоплива, в части несвоевременного представления производителями отчетов в уполномоченный орган в области производства биотоплива;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значительное нарушение – нарушение требований, установленных нормативными правовыми актами в области биотоплива, в части не представления производителями биотоплива отчетов в уполномоченный орган в области производства биотоплива, отсутствия документов на пищевое сырье, подтверждающих, что сырье не является генетически модифицированным источником (объектом) или содержащим генетически модифицированные источники (объекты) с научно обоснованным подтверждением их безопасности и проведения государственной регистрации, отсутствия контрольных приборов учета и их не исправное состояние;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грубое нарушение – нарушение требований, установленных нормативными правовыми актами в области биотоплива, в части использования пищевого сырья для последующей переработки в биотопливо в объеме, превышающем квоту, установленную уполномоченным органом в области производства биотоплива, отсутствия паспорта производства биотоплива, соответствия состава пищевого сырья для производства биотоплива (не допускается использование 1-2 классов пшеницы);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объективные критерии степени риска – критерии оценки степени риска, используемые для отбора субъектов (объектов) контроля в области производства биотоплива и не зависящие непосредственно от отдельного субъекта (объекта) контроля;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субъективные критерии степени риска – критерии оценки степени риска, используемые для отбора субъектов (объектов) контроля в зависимости от результатов деятельности конкретного субъекта (объекта) контроля;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система оценки рисков – комплекс мероприятий, проводимых органом контроля с целью назначения профилактического контроля с посещением субъекта (объекта) контроля;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проверочный лист – перечень требований, включающий в себя только те требования к деятельности субъектов (объектов) контроля, несоблюдение которых влечет за собой угрозу жизни и здоровью человека, окружающей среде, законным интересам физических и юридических лиц, государства.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отношении субъектов (объектов) контроля, отнесенных к высокой степени риска проводится профилактический контроль с посещением субъекта (объекта) контроля.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Распределение субъектов (объектов) контроля по степеням риска осуществляется на основании объективных и субъективных критериев.</w:t>
      </w:r>
    </w:p>
    <w:bookmarkEnd w:id="25"/>
    <w:bookmarkStart w:name="z34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Объективные критерии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Оценка степени риска субъектов (объектов) контроля по объективным критериям осуществляется на основании вероятности возникновения угрозы продовольственной безопасности на территории республики в связи с использованием пищевого сырья на биотопливо, нанесения ущерба законным интересам физических и юридических лиц, имущественным интересам государства в результате деятельности субъекта (объекта) контроля с учетом степени тяжести его последствий.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учетом высоких общественных рисков по объективным критериям относятся к высокой степени риска юридические лица, осуществляющие производство биотоплива.</w:t>
      </w:r>
    </w:p>
    <w:bookmarkEnd w:id="28"/>
    <w:bookmarkStart w:name="z37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Субъективные критерии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Определение субъективных критериев осуществляется с применением следующих этапов: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формирование базы данных и сбор информации;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анализ информации и оценка рисков.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Оценка степени риска субъектов (объектов) контроля по субъективным критериям осуществляется по следующим показателям: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результаты мониторинга отчетности и сведений, представляемых субъектами (объектами) контроля в структурные подразделения местного исполнительного органа, определяются по субъективным критериям по информационному источнику "Результаты мониторинга отчетности и сведений, представляемых субъектами (объектами) контроля, в структурные подразделения местного исполнительного органа"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критериям;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результаты предыдущего профилактического контроля с посещением субъектов (объектов) контроля. При этом степень нарушений (грубое, значительное) определяется по субъективным критериям по информационному источнику "Результаты предыдущего профилактического контроля с посещением"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критериям;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соответствии с критериями оценки степени риска регулирующего государственного органа рассчитывается показатель степени риска субъективных критериев по шкале от 0 до 100.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Одно нарушение грубой степени приравнивается к показателю 100.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если нарушений грубой степени не выявлено, то для определения показателя степени риска рассчитываются показатели нарушений значительной и незначительной степени, затем суммируются.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определении показателя нарушений значительной степени применяется весовой коэффициент 0,7 и данный показатель рассчитывается по следующей формуле: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S</w:t>
      </w:r>
      <w:r>
        <w:rPr>
          <w:rFonts w:ascii="Times New Roman"/>
          <w:b w:val="false"/>
          <w:i w:val="false"/>
          <w:color w:val="000000"/>
          <w:sz w:val="28"/>
        </w:rPr>
        <w:t>Р</w:t>
      </w:r>
      <w:r>
        <w:rPr>
          <w:rFonts w:ascii="Times New Roman"/>
          <w:b w:val="false"/>
          <w:i w:val="false"/>
          <w:color w:val="000000"/>
          <w:vertAlign w:val="subscript"/>
        </w:rPr>
        <w:t>з</w:t>
      </w:r>
      <w:r>
        <w:rPr>
          <w:rFonts w:ascii="Times New Roman"/>
          <w:b w:val="false"/>
          <w:i w:val="false"/>
          <w:color w:val="000000"/>
          <w:sz w:val="28"/>
        </w:rPr>
        <w:t xml:space="preserve"> = (</w:t>
      </w:r>
      <w:r>
        <w:rPr>
          <w:rFonts w:ascii="Times New Roman"/>
          <w:b w:val="false"/>
          <w:i w:val="false"/>
          <w:color w:val="000000"/>
          <w:sz w:val="28"/>
        </w:rPr>
        <w:t>S</w:t>
      </w:r>
      <w:r>
        <w:rPr>
          <w:rFonts w:ascii="Times New Roman"/>
          <w:b w:val="false"/>
          <w:i w:val="false"/>
          <w:color w:val="000000"/>
          <w:sz w:val="28"/>
        </w:rPr>
        <w:t>Р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х 100/</w:t>
      </w:r>
      <w:r>
        <w:rPr>
          <w:rFonts w:ascii="Times New Roman"/>
          <w:b w:val="false"/>
          <w:i w:val="false"/>
          <w:color w:val="000000"/>
          <w:sz w:val="28"/>
        </w:rPr>
        <w:t>S</w:t>
      </w:r>
      <w:r>
        <w:rPr>
          <w:rFonts w:ascii="Times New Roman"/>
          <w:b w:val="false"/>
          <w:i w:val="false"/>
          <w:color w:val="000000"/>
          <w:sz w:val="28"/>
        </w:rPr>
        <w:t>Р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) х 0,7,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S</w:t>
      </w:r>
      <w:r>
        <w:rPr>
          <w:rFonts w:ascii="Times New Roman"/>
          <w:b w:val="false"/>
          <w:i w:val="false"/>
          <w:color w:val="000000"/>
          <w:sz w:val="28"/>
        </w:rPr>
        <w:t>Р</w:t>
      </w:r>
      <w:r>
        <w:rPr>
          <w:rFonts w:ascii="Times New Roman"/>
          <w:b w:val="false"/>
          <w:i w:val="false"/>
          <w:color w:val="000000"/>
          <w:vertAlign w:val="subscript"/>
        </w:rPr>
        <w:t>з</w:t>
      </w:r>
      <w:r>
        <w:rPr>
          <w:rFonts w:ascii="Times New Roman"/>
          <w:b w:val="false"/>
          <w:i w:val="false"/>
          <w:color w:val="000000"/>
          <w:sz w:val="28"/>
        </w:rPr>
        <w:t xml:space="preserve"> - показатель значительных нарушений;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S</w:t>
      </w:r>
      <w:r>
        <w:rPr>
          <w:rFonts w:ascii="Times New Roman"/>
          <w:b w:val="false"/>
          <w:i w:val="false"/>
          <w:color w:val="000000"/>
          <w:sz w:val="28"/>
        </w:rPr>
        <w:t>Р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- требуемое количество значительных нарушений;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S</w:t>
      </w:r>
      <w:r>
        <w:rPr>
          <w:rFonts w:ascii="Times New Roman"/>
          <w:b w:val="false"/>
          <w:i w:val="false"/>
          <w:color w:val="000000"/>
          <w:sz w:val="28"/>
        </w:rPr>
        <w:t>Р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- количество выявленных значительных нарушений.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определении показателя незначительных нарушений применяется коэффициент 0,3 и данный показатель рассчитывается по следующей формуле: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S</w:t>
      </w:r>
      <w:r>
        <w:rPr>
          <w:rFonts w:ascii="Times New Roman"/>
          <w:b w:val="false"/>
          <w:i w:val="false"/>
          <w:color w:val="000000"/>
          <w:sz w:val="28"/>
        </w:rPr>
        <w:t>Р</w:t>
      </w:r>
      <w:r>
        <w:rPr>
          <w:rFonts w:ascii="Times New Roman"/>
          <w:b w:val="false"/>
          <w:i w:val="false"/>
          <w:color w:val="000000"/>
          <w:vertAlign w:val="subscript"/>
        </w:rPr>
        <w:t>н</w:t>
      </w:r>
      <w:r>
        <w:rPr>
          <w:rFonts w:ascii="Times New Roman"/>
          <w:b w:val="false"/>
          <w:i w:val="false"/>
          <w:color w:val="000000"/>
          <w:sz w:val="28"/>
        </w:rPr>
        <w:t xml:space="preserve"> = (</w:t>
      </w:r>
      <w:r>
        <w:rPr>
          <w:rFonts w:ascii="Times New Roman"/>
          <w:b w:val="false"/>
          <w:i w:val="false"/>
          <w:color w:val="000000"/>
          <w:sz w:val="28"/>
        </w:rPr>
        <w:t>S</w:t>
      </w:r>
      <w:r>
        <w:rPr>
          <w:rFonts w:ascii="Times New Roman"/>
          <w:b w:val="false"/>
          <w:i w:val="false"/>
          <w:color w:val="000000"/>
          <w:sz w:val="28"/>
        </w:rPr>
        <w:t>Р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х 100/ </w:t>
      </w:r>
      <w:r>
        <w:rPr>
          <w:rFonts w:ascii="Times New Roman"/>
          <w:b w:val="false"/>
          <w:i w:val="false"/>
          <w:color w:val="000000"/>
          <w:sz w:val="28"/>
        </w:rPr>
        <w:t>S</w:t>
      </w:r>
      <w:r>
        <w:rPr>
          <w:rFonts w:ascii="Times New Roman"/>
          <w:b w:val="false"/>
          <w:i w:val="false"/>
          <w:color w:val="000000"/>
          <w:sz w:val="28"/>
        </w:rPr>
        <w:t>Р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) х 0,3,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S</w:t>
      </w:r>
      <w:r>
        <w:rPr>
          <w:rFonts w:ascii="Times New Roman"/>
          <w:b w:val="false"/>
          <w:i w:val="false"/>
          <w:color w:val="000000"/>
          <w:sz w:val="28"/>
        </w:rPr>
        <w:t>Р</w:t>
      </w:r>
      <w:r>
        <w:rPr>
          <w:rFonts w:ascii="Times New Roman"/>
          <w:b w:val="false"/>
          <w:i w:val="false"/>
          <w:color w:val="000000"/>
          <w:vertAlign w:val="subscript"/>
        </w:rPr>
        <w:t>н</w:t>
      </w:r>
      <w:r>
        <w:rPr>
          <w:rFonts w:ascii="Times New Roman"/>
          <w:b w:val="false"/>
          <w:i w:val="false"/>
          <w:color w:val="000000"/>
          <w:sz w:val="28"/>
        </w:rPr>
        <w:t xml:space="preserve"> - показатель незначительных нарушений;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S</w:t>
      </w:r>
      <w:r>
        <w:rPr>
          <w:rFonts w:ascii="Times New Roman"/>
          <w:b w:val="false"/>
          <w:i w:val="false"/>
          <w:color w:val="000000"/>
          <w:sz w:val="28"/>
        </w:rPr>
        <w:t>Р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- требуемое количество незначительных нарушений;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S</w:t>
      </w:r>
      <w:r>
        <w:rPr>
          <w:rFonts w:ascii="Times New Roman"/>
          <w:b w:val="false"/>
          <w:i w:val="false"/>
          <w:color w:val="000000"/>
          <w:sz w:val="28"/>
        </w:rPr>
        <w:t>Р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- количество выявленных незначительных нарушений.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Общий показатель степени риска (</w:t>
      </w:r>
      <w:r>
        <w:rPr>
          <w:rFonts w:ascii="Times New Roman"/>
          <w:b w:val="false"/>
          <w:i w:val="false"/>
          <w:color w:val="000000"/>
          <w:sz w:val="28"/>
        </w:rPr>
        <w:t>S</w:t>
      </w:r>
      <w:r>
        <w:rPr>
          <w:rFonts w:ascii="Times New Roman"/>
          <w:b w:val="false"/>
          <w:i w:val="false"/>
          <w:color w:val="000000"/>
          <w:sz w:val="28"/>
        </w:rPr>
        <w:t>Р) рассчитывается по шкале от 0 до 100 и определяется путем суммирования показателей значительных и незначительных нарушений по следующей формуле: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S</w:t>
      </w:r>
      <w:r>
        <w:rPr>
          <w:rFonts w:ascii="Times New Roman"/>
          <w:b w:val="false"/>
          <w:i w:val="false"/>
          <w:color w:val="000000"/>
          <w:sz w:val="28"/>
        </w:rPr>
        <w:t xml:space="preserve">Р = </w:t>
      </w:r>
      <w:r>
        <w:rPr>
          <w:rFonts w:ascii="Times New Roman"/>
          <w:b w:val="false"/>
          <w:i w:val="false"/>
          <w:color w:val="000000"/>
          <w:sz w:val="28"/>
        </w:rPr>
        <w:t>S</w:t>
      </w:r>
      <w:r>
        <w:rPr>
          <w:rFonts w:ascii="Times New Roman"/>
          <w:b w:val="false"/>
          <w:i w:val="false"/>
          <w:color w:val="000000"/>
          <w:sz w:val="28"/>
        </w:rPr>
        <w:t>Р</w:t>
      </w:r>
      <w:r>
        <w:rPr>
          <w:rFonts w:ascii="Times New Roman"/>
          <w:b w:val="false"/>
          <w:i w:val="false"/>
          <w:color w:val="000000"/>
          <w:vertAlign w:val="subscript"/>
        </w:rPr>
        <w:t>з</w:t>
      </w:r>
      <w:r>
        <w:rPr>
          <w:rFonts w:ascii="Times New Roman"/>
          <w:b w:val="false"/>
          <w:i w:val="false"/>
          <w:color w:val="000000"/>
          <w:sz w:val="28"/>
        </w:rPr>
        <w:t xml:space="preserve"> + </w:t>
      </w:r>
      <w:r>
        <w:rPr>
          <w:rFonts w:ascii="Times New Roman"/>
          <w:b w:val="false"/>
          <w:i w:val="false"/>
          <w:color w:val="000000"/>
          <w:sz w:val="28"/>
        </w:rPr>
        <w:t>S</w:t>
      </w:r>
      <w:r>
        <w:rPr>
          <w:rFonts w:ascii="Times New Roman"/>
          <w:b w:val="false"/>
          <w:i w:val="false"/>
          <w:color w:val="000000"/>
          <w:sz w:val="28"/>
        </w:rPr>
        <w:t>Р</w:t>
      </w:r>
      <w:r>
        <w:rPr>
          <w:rFonts w:ascii="Times New Roman"/>
          <w:b w:val="false"/>
          <w:i w:val="false"/>
          <w:color w:val="000000"/>
          <w:vertAlign w:val="subscript"/>
        </w:rPr>
        <w:t>н</w:t>
      </w:r>
      <w:r>
        <w:rPr>
          <w:rFonts w:ascii="Times New Roman"/>
          <w:b w:val="false"/>
          <w:i w:val="false"/>
          <w:color w:val="000000"/>
          <w:sz w:val="28"/>
        </w:rPr>
        <w:t>,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S</w:t>
      </w:r>
      <w:r>
        <w:rPr>
          <w:rFonts w:ascii="Times New Roman"/>
          <w:b w:val="false"/>
          <w:i w:val="false"/>
          <w:color w:val="000000"/>
          <w:sz w:val="28"/>
        </w:rPr>
        <w:t>Р – общий показатель степени риска;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S</w:t>
      </w:r>
      <w:r>
        <w:rPr>
          <w:rFonts w:ascii="Times New Roman"/>
          <w:b w:val="false"/>
          <w:i w:val="false"/>
          <w:color w:val="000000"/>
          <w:sz w:val="28"/>
        </w:rPr>
        <w:t>Р</w:t>
      </w:r>
      <w:r>
        <w:rPr>
          <w:rFonts w:ascii="Times New Roman"/>
          <w:b w:val="false"/>
          <w:i w:val="false"/>
          <w:color w:val="000000"/>
          <w:vertAlign w:val="subscript"/>
        </w:rPr>
        <w:t>з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показатель значительных нарушений;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S</w:t>
      </w:r>
      <w:r>
        <w:rPr>
          <w:rFonts w:ascii="Times New Roman"/>
          <w:b w:val="false"/>
          <w:i w:val="false"/>
          <w:color w:val="000000"/>
          <w:sz w:val="28"/>
        </w:rPr>
        <w:t>Р</w:t>
      </w:r>
      <w:r>
        <w:rPr>
          <w:rFonts w:ascii="Times New Roman"/>
          <w:b w:val="false"/>
          <w:i w:val="false"/>
          <w:color w:val="000000"/>
          <w:vertAlign w:val="subscript"/>
        </w:rPr>
        <w:t>н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показатель незначительных нарушений.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показателям степени риска субъект (объект) контроля относится: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 высокой степени риска – при показателе степени риска от 61 до 100;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 не отнесенной к высокой степени риска – при показателе степени риска от 0 до 60.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Кратность проведения профилактического контроля с посещением субъекта (объекта) контроля не превышает одного раза в год.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Профилактический контроль с посещением субъекта (объекта) контроля проводится на основании полугодовых списков профилактического контроля с посещением субъекта (объекта) контроля, формируемых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141 Предпринимательского кодекса. 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Списки профилактического контроля с посещением субъекта (объекта) контроля составляются с учетом приоритетности субъекта контроля с наибольшим показателем степени риска по субъективным критериям.</w:t>
      </w:r>
    </w:p>
    <w:bookmarkEnd w:id="6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Критериям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степени риска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производства биотоплива</w:t>
            </w:r>
          </w:p>
        </w:tc>
      </w:tr>
    </w:tbl>
    <w:bookmarkStart w:name="z72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Субъективные критерии по информационному источнику "Результаты мониторинга отчетности и сведений, представляемых субъектами (объектами) контроля, в структурные подразделения местного исполнительного органа"</w:t>
      </w:r>
    </w:p>
    <w:bookmarkEnd w:id="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57"/>
        <w:gridCol w:w="7828"/>
        <w:gridCol w:w="1615"/>
      </w:tblGrid>
      <w:tr>
        <w:trPr>
          <w:trHeight w:val="30" w:hRule="atLeast"/>
        </w:trPr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7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критериев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Степень нарушения</w:t>
            </w:r>
          </w:p>
        </w:tc>
      </w:tr>
      <w:tr>
        <w:trPr>
          <w:trHeight w:val="30" w:hRule="atLeast"/>
        </w:trPr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7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представление производителями биотоплива отчетов в уполномоченный орган в области производства биотоплива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Критериям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степени риска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производства биотоплива</w:t>
            </w:r>
          </w:p>
        </w:tc>
      </w:tr>
    </w:tbl>
    <w:bookmarkStart w:name="z74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Субъективные критерии по информационному источнику "Результаты предыдущего профилактического контроля с посещением"</w:t>
      </w:r>
    </w:p>
    <w:bookmarkEnd w:id="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3"/>
        <w:gridCol w:w="10338"/>
        <w:gridCol w:w="709"/>
      </w:tblGrid>
      <w:tr>
        <w:trPr>
          <w:trHeight w:val="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0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критериев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Степень нарушения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Степень тяжести устанавливается при несоблюдении нижеперечисленных требований:</w:t>
            </w:r>
          </w:p>
        </w:tc>
      </w:tr>
      <w:tr>
        <w:trPr>
          <w:trHeight w:val="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0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квоты на пищевое сырье, используемое для последующей переработки в биотопливо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0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состава пищевого сырья для производства биотоплива (не допускается использование 1-2 классов пшеницы)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0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паспорта производства биотоплива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0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контрольных приборов учета и их исправное состояние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0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документов на пищевое сырье, подтверждающих, что сырье не является генетически модифицированным источником (объектом) или содержащим генетически модифицированные источники (объекты) с научно обоснованным подтверждением их безопасности и проведения государственной регистрации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Заместителя Премьер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Республики Казахстан–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2018 года № 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Министра 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2018 года № 92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Заместителя Премьер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Республики Казахстан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августа 2016 года № 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августа 2016 года № 381</w:t>
            </w:r>
          </w:p>
        </w:tc>
      </w:tr>
    </w:tbl>
    <w:bookmarkStart w:name="z77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Проверочный лист</w:t>
      </w:r>
    </w:p>
    <w:bookmarkEnd w:id="65"/>
    <w:bookmarkStart w:name="z78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сфере/в области/за производства биотоплива 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138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Предпринимательского кодекса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 отношении субъекта (объекта) контроля, осуществляющего  производство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биотоплива 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наименование однородной группы субъектов (объектов) контроля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Государственный орган, назначивший проверку______________________________________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Акт о назначении профилактического контроля с посещением субъекта (объекта) контроля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№, дата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субъекта (объекта) контроля__________________________________________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Индивидуальный идентификационный номер/бизнес-идентификационный номер субъекта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(объекта) контроля _______________________________________________________________</w:t>
      </w:r>
    </w:p>
    <w:bookmarkEnd w:id="66"/>
    <w:bookmarkStart w:name="z79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места нахождения__________________________________________________________</w:t>
      </w:r>
    </w:p>
    <w:bookmarkEnd w:id="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3"/>
        <w:gridCol w:w="8196"/>
        <w:gridCol w:w="777"/>
        <w:gridCol w:w="778"/>
        <w:gridCol w:w="778"/>
        <w:gridCol w:w="778"/>
      </w:tblGrid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8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требований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Требуется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требованиям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соответствует требованиям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8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квоты на пищевое сырье, используемое для последующей переработки в биотопливо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8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состава пищевого сырья для производства биотоплива (не допускается использование 1-2 классов пшеницы)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8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паспорта производства биотоплива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8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контрольных приборов учета и их исправное состояние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8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документов на пищевое сырье, подтверждающих, что сырье не является генетически модифицированным источником (объектом) или содержащим генетически модифицированные источники (объекты) с научно обоснованным подтверждением их безопасности и проведения государственной регистрации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0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Должностное (ые) лицо (а) ____________________________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должность                              подпись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Руководитель субъекта контроля _______________________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должность                        подпись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фамилия, имя, отчество (при его наличии)</w:t>
      </w:r>
    </w:p>
    <w:bookmarkEnd w:id="6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