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c0af" w14:textId="03dc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потребителей, включенных в Реестр групп лиц, в создании электрической мощности для покрытия прогнозируемого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декабря 2018 года № 515. Зарегистрирован в Министерстве юстиции Республики Казахстан 22 декабря 2018 года № 18004.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потребителей, включенных в Реестр групп лиц, в создании электрической мощности для покрытия прогнозируемого дефицита.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515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участия потребителей, включенных в Реестр групп лиц, в создании электрической мощности для покрытия прогнозируемого дефицита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энергетики РК от 30.04.2021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участия потребителей, включенных в Реестр групп лиц, в создании электрической мощности для покрытия прогнозируемого дефицита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участия потребителей, включенных в Реестр групп лиц, в создании электрической мощности для покрытия прогнозируемого дефицита.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совет рынка – некоммерческая организация, осуществляющая деятельность по мониторингу функционирования рынка электрической энергии и мощности, а также другие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– Закон);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групп лиц (далее – Реестр) – формируемый и размещаемый на официальном интернет-ресурсе уполномоченным органом перечень энергопроизводящих организаций и потребителей, входящих в одну группу лиц, при условии наличия контроля в соответствии с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руководство в области электроэнергетики.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участия потребителей, включенных в Реестр групп лиц, в создании электрической мощности для покрытия прогнозируемого дефицита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Закона,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какой-либо из ее зон в течение первых пяти лет прогноза превышает 100 мегаватт, уполномоченный орган в течение тридцати календарных дней направляет уведомления в Совет рынка, потребителям, включенным в Реестр, о возникновении прогнозируемого непокрываемого дефицита электрической мощности.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единой электроэнергетической системы Республики Казахстан является частью единой электроэнергетической системы Республики Казахстан, в которой отсутствуют ограничения технического характера, препятствующие передаче электрической энергии, произведенной генерирующими источниками, определяемой в соответствии с порядком разработки прогнозных балансов электрической энергии и мощности.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Непокрываемый дефицит электрической мощности рассчитывается с учетом пропускной способности линий электропередачи, связывающих энергодефицитные зоны с другими зонами единой электроэнергетической системы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Закона, потребители, включенные в Реестр соответствующей группы лиц, участвуют в создании электрической мощности в объеме, рассчитанном Советом рынка по следующей формуле: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Мроп = Дэм*(ПНпр/ПНЕЭС), где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Мроп – расчетный объем обязательств потребителей, включенных в Реестр соответствующей группы лиц, в создании электрической мощности;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Дэм – объем прогнозируемого дефицита электрической мощности в единой электроэнергетической системе Республики Казахстан или в какой-либо из ее зон;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ПНЕЭС – общая пиковая нагрузка в единой электроэнергетической системе Республики Казахстан на момент утверждения прогнозного баланса электрической энергии и мощности на предстоящий семилетний период.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Закона, обязательства потребителей, включенных в Реестр, по созданию электрической мощности,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Закона, снижаются на величину электрической мощности, созданной субъектами оптового рынка, включенными в Реестр соответствующей группы лиц, рассчитанные Советом рынка по следующей формуле: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 = (Дэм+СМпр)*(ПНпр/ПНЕЭС) - СМпр, где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 – объем обязательств потребителей, включенных в Реестр соответствующей группы лиц, в создании электрической мощности;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Дэм – объем прогнозируемого дефицита электрической мощности в единой электроэнергетической системе Республики Казахстан или в какой-либо из ее зон;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СМпр – объем электрической мощности, созданный субъектами оптового рынка, включенными в Реестр соответствующей группы лиц, при выполнении условий, указанных в пункте 8 статьи 15-5 Закона;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ПНЕЭС – общая пиковая нагрузка в единой электроэнергетической системе Республики Казахстан на момент утверждения прогнозного баланса электрической энергии и мощности на предстоящий семилетний период.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Моп равен нулю, либо отрицательный, обязательства потребителей, включенных в Реестр соответствующей группы лиц, равны нулю.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объем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 равен или более Моп, остальные потребители соответствующей группы лиц, включенные в Реестр, освобождаются от участия в создании электрической мощности.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объем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 менее Моп, потребители, включенные в Реестр соответствующей группы лиц, участвуют в создании электрической мощности в соответствии с подпунктом 4) пункта 6 статьи 15-5 Закона, в объеме, рассчитанном Советом рынка, на основании уведомления уполномоченного органа, по следующей формуле: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= Моп – СМоп, где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 – объем обязательств потребителей, включенных в Реестр соответствующей группы лиц, в создании электрической мощности;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СМоп – объем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покупки услуг по обеспечению готовности электрической мощности к несению нагрузки у единого закупщика распределяется Советом рынка между потребителями, включенными в Реестр, по следующей формуле: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Мез1 = Мез* (ПНпр1/ПНпр), где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Мез1 – объем покупки услуг по обеспечению готовности электрической мощности к несению нагрузки у единого закупщика потребителем, включенным в Реестр, в соответствии с подпунктом 4) пункта 6 статьи 15-5 Закона;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ПНпр1 – пиковая нагрузка потребителя, включенного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исполнении обязательств, предусмотренных в пункте 6 статьи 15-5 Закона, путем выполнения действий, указанных в подпунктах 1) и 2) пункта 6 статьи 15-5 Закона, место размещения (площадка), тип и вид топлива для генерирующих установок, вводимых в эксплуатацию, субъектами оптового рынка, включенными в Реестр, согласовываются с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субъектов оптового рынка, включенных в Реестр, с единым закупщиком и уполномоченным органом по вопросам принятия решений об участии в создании электрической мощности, направлении уведомлений и информации, заключении договоров на создание электрической мощности и о покупке услуги по поддержанию готовности электрической мощности, осуществляется в соответствии с пунктами 10-12 статьи 15-5 Закона.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принятии решения об участии в создании электрической мощности путем выполнения действия, указанного в подпункте 4) пункта 6 статьи 15-5 Закона, потребители, включенные в Реестр соответствующей группы лиц, покупают у единого закупщика услуги по обеспечению готовности электрической мощности к несению нагрузки в объеме, рассчитанном Советом рынка по следующей формуле: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= Моп - СМоп, где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 – объем обязательств потребителей, включенных в Реестр соответствующей группы лиц, в создании электрической мощности;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СМоп – объем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объема покупки услуг по обеспечению готовности электрической мощности к несению нагрузки у единого закупщика в соответствии с подпунктом 4) пункта 6 статьи 15-5 Закона между потребителями, включенными в Реестр,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Группы лиц, созданные после проведения тендера на строительство генерирующих установок, вновь вводимых в эксплуатацию и (или) после проведения аукционных торгов, участвуют в создании электрической мощности в соответствии с подпунктом 4) пункта 6 статьи 15-5 Закона.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покупки услуг по обеспечению готовности электрической мощности к несению нагрузки у единого закупщика рассчитываются Советом рынка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участия потребителей, включенных в Реестр групп лиц, в создании регулировочной электрической мощности для покрытия прогнозируемого дефицита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Закона,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какой-либо из ее зон в течение последних трех лет прогноза превышает 100 мегаватт, уполномоченный орган определяет объемы, сроки ввода в эксплуатацию регулировочных генерирующих установок с маневренным режимом генерации и направляет уведомления в Совет рынка, потребителям, включенным в Реестр, о возникновении прогнозируемого непокрываемого дефицита регулировочной электрической мощности.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Закона, потребители, включенные в Реестр соответствующей группы лиц, участвуют в создании регулировочной электрической мощности в объеме, рассчитанном Советом рынка на основании уведомления уполномоченного органа, по следующей формуле: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Мрегроп = Дрегэм*(ПНпр/ПНЕЭС), где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Мрегроп – расчетный объем обязательств потребителей, включенных в Реестр соответствующей группы лиц, в создании регулировочной электрической мощности;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Дрегэм – объем прогнозируемого дефицита регулировочной электрической мощности в единой электроэнергетической системе Республики Казахстан или в какой-либо из ее зон;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ПНЕЭС – общая пиковая нагрузка в единой электроэнергетической системе Республики Казахстан на момент утверждения прогнозного баланса электрической энергии и мощности на предстоящий семилетний период.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Закона, обязательства потребителей, включенных в Реестр, по созданию регулировочной электрической мощности, предусмотренные пунктом 6 статьи 15-5 Закона, снижаются на величину регулировочной электрической мощности, созданной субъектами оптового рынка, включенными в Реестр соответствующей группы лиц, рассчитанные Советом рынка по следующей формуле: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Мопрег = (Дрегэм+СМрегпр)*(ПНпр/ПНЕЭС) – СМрегпр, где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Мопрег – объем обязательств потребителей, включенных в Реестр соответствующей группы лиц, в создании регулировочной электрической мощности;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Дрегэм – объем прогнозируемого дефицита регулировочной электрической мощности в единой электроэнергетической системе Республики Казахстан или в какой-либо из ее зон;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СМрегпр – объем регулировочной электрической мощности, созданный субъектами оптового рынка, включенными в Реестр соответствующей группы лиц, при выполнении условий, указанных в пункте 8 статьи 15-5 Закона;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ПНЕЭС – общая пиковая нагрузка в единой электроэнергетической системе Республики Казахстан на момент утверждения прогнозного баланса электрической энергии и мощности на предстоящий семилетний период.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Мопрег равен нулю, либо отрицательный, обязательства потребителей, включенных в Реестр соответствующей группы лиц, равны нулю.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объем регулировочной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 равен или более Мопрег, остальные потребители соответствующей группы лиц, включенные в Реестр, освобождаются от участия в создании регулировочной электрической мощности.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объем регулировочной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 менее Мопрег, потребители, включенные в Реестр соответствующей группы лиц, участвуют в создании регулировочной электрической мощности в соответствии с подпунктом 4) пункта 6 статьи 15-5 Закона, в объеме, рассчитанном Советом рынка по следующей формуле: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= Мопрег - СМрегоп, где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Мопрег – объем обязательств потребителей, включенных в Реестр соответствующей группы лиц, в создании регулировочной электрической мощности;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СМрегоп – объем регулировочной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покупки услуг по обеспечению готовности электрической мощности к несению нагрузки у единого закупщика распределяется Советом рынка между потребителями, включенными в Реестр, по следующей формуле: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Мез1 = Мез* (ПНпр1/ПНпр), где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Мез1 – объем покупки услуг по обеспечению готовности электрической мощности к несению нагрузки у единого закупщика потребителем, включенным в Реестр, в соответствии с подпунктом 4) пункта 6 статьи 15-5 Закона;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ПНпр1 – пиковая нагрузка потребителя, включенного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исполнении обязательств, предусмотренных в пункте 6 статьи 15-5 Закона, путем выполнения действий, указанных в подпунктах 1) и 2) пункта 6 статьи 15-5 Закона, место размещения (площадка), тип и вид топлива для генерирующих установок, вводимых в эксплуатацию, субъектами оптового рынка, включенными в Реестр, согласовываются с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Взаимодействие субъектов оптового рынка, включенных в Реестр, с единым закупщиком и уполномоченным органом по вопросам принятия решений об участии в создании регулировочной электрической мощности, направлении уведомлений и информации, заключении договоров на создание регулировочной электрической мощности и о покупке услуги по поддержанию готовности электрической мощности,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принятии решения об участии в создании регулировочной электрической мощности путем выполнения действия, указанного в подпункте 4) пункта 6 статьи 15-5 Закона, потребители, включенные в Реестр соответствующей группы лиц, покупают у единого закупщика услуги по обеспечению готовности электрической мощности к несению нагрузки в объеме, рассчитанном Советом рынка по следующей формуле: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= Мопрег – СМрегоп, где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Мопрег – объем обязательств потребителей, включенных в Реестр соответствующей группы лиц, в создании регулировочной электрической мощности;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СМрегоп – объем регулировочной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объема покупки услуг по обеспечению готовности электрической мощности к несению нагрузки у единого закупщика в соответствии с подпунктом 4) пункта 6 статьи 15-5 Закона между потребителями, включенными в Реестр,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согласования места размещения (площадки), типа и вида топлива для генерирующих установок, вводимых в эксплуатацию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Субъекты оптового рынка, включенные в Реестр, подают в уполномоченный орган ходатайство о согласовании места размещения (площадки), типа и вида топлива генерирующих установок, вводимых в эксплуатацию, на бумажном и электронном носителях вместе с информацией об основных параметрах генерирующих установок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согласовывает место размещения (площадку), тип и вид топлива для генерирующих установок, вводимых в эксплуатацию, субъектами оптового рынка, включенными в Реестр, при условии, что электрическая мощность и (или) регулировочная электрическая мощность будет создана в единой электроэнергетической системе Республики Казахстан или в какой-либо из ее зон, в которой прогнозируется непокрываемый дефицит электрической мощности.</w:t>
      </w:r>
    </w:p>
    <w:bookmarkEnd w:id="95"/>
    <w:bookmarkStart w:name="z2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строительстве вновь вводимых в эксплуатацию генерирующих установок с маневренным режимом генерации, использующих для выработки электрической энергии гидродинамическую энергию воды и (или) газ, диапазон регулирования определяется согласно Правилам организации и проведения аукционных торгов на строительство вновь вводимых в эксплуатацию генерирующих установок с маневренным режимом генерации,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30 апреля 2021 года № 161 (зарегистрирован в Реестре государственной регистрации нормативных правовых актов за № 22727).</w:t>
      </w:r>
    </w:p>
    <w:bookmarkEnd w:id="96"/>
    <w:bookmarkStart w:name="z2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вновь вводимых в эксплуатацию генерирующих установок с маневренным режимом генерации, использующих для выработки электрической энергии уголь и (или) вторичные энергетические ресурсы, диапазон регулирования определяется согласно приложению 2 к настоящим Правилам.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 в соответствии с приказом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включенных в Реестр групп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создании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мощности для 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прогнозируемого дефицита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основных параметрах генерирующих установок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электрической станции, которую охватывают мероприятия, реализация которых планируется в рамках исполнения обязательств, предусмотренных в пункте 4 настоящих Правил, путем выполнения действий, указанных в подпунктах 1) и 2) пункта 6 статьи 15-5 Закона.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Общая информация о мероприятиях, реализация которых планируется в рамках исполнения обязательств, предусмотренных в пункте 6 статьи 15-5 Закона, путем выполнения действий, указанных в подпунктах 1) и 2) пункта 6 статьи 15-5 Закона*.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мероприятия (месяц, год)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мероприятия (месяц,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 вводимого основного генерирующего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электрическая мощность, в том числе регулировочная электрическая мощность, (МВт)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тепловая мощность, (Гкал/ч)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электрической мощности и (или) регулировочной электрической мощности, включая реконструкцию выбывшей электрической мощности и (или) регулировочной электрической мощности, не учтенной в утвержденном прогнозном балансе электрической энергии и мощности на предстоящий семилетний период</w:t>
            </w:r>
          </w:p>
          <w:bookmarkEnd w:id="10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собственной существующей электрической мощности и (или) регулировочной электрической мощности</w:t>
            </w:r>
          </w:p>
          <w:bookmarkEnd w:id="10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числовые значения параметров таблицы отражаются с точностью до десятых.</w:t>
      </w:r>
    </w:p>
    <w:bookmarkEnd w:id="112"/>
    <w:bookmarkStart w:name="z1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параметрах работы электрической станции до и после реализации мероприятий, указанных в подпункте 2) пункта 6 статьи 15-5 Закона*.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в том числе регулировочная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располагаемая мощность, в том числе регулировочная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условного топлива на отпуск**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(МВт)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(Гкал/ч)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(МВт)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(Гкал/ч)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 (гут/кВтч)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 (гут/кВтч)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реализации мероприятий</w:t>
            </w:r>
          </w:p>
          <w:bookmarkEnd w:id="11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реализации мероприятий</w:t>
            </w:r>
          </w:p>
          <w:bookmarkEnd w:id="11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2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числовые значения параметров таблицы отражаются с точностью до десятых.</w:t>
      </w:r>
    </w:p>
    <w:bookmarkEnd w:id="121"/>
    <w:bookmarkStart w:name="z2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 номинальном режиме работы электростанции.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групп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создании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для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прогнозируемого дефицита</w:t>
            </w:r>
          </w:p>
        </w:tc>
      </w:tr>
    </w:tbl>
    <w:bookmarkStart w:name="z22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Диапазон регулирования, предъявляемый к вновь вводимой электрической мощности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электростанции энергопроизводящей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регулировочной электрической мощности, МВт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изменения объема регулировочной электрической мощности, МВт/минута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с угольной генерацией и комбинированным режимом сжигания топлива (уголь + вторичные энергетические ресурсы)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+/-30% от Р*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с угольной генерацией и комбинированным режимом сжигания топлива (уголь + вторичные энергетические ресрусы) участвующие в теплоснабжении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+/-20% от Р*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2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4"/>
    <w:bookmarkStart w:name="z2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Р – переменная база, в МВт, значение которой определяется на каждый час суток по следующей формуле:</w:t>
      </w:r>
    </w:p>
    <w:bookmarkEnd w:id="125"/>
    <w:bookmarkStart w:name="z2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Р=Р</w:t>
      </w:r>
      <w:r>
        <w:rPr>
          <w:rFonts w:ascii="Times New Roman"/>
          <w:b w:val="false"/>
          <w:i w:val="false"/>
          <w:color w:val="000000"/>
          <w:vertAlign w:val="subscript"/>
        </w:rPr>
        <w:t>раб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max (Р</w:t>
      </w:r>
      <w:r>
        <w:rPr>
          <w:rFonts w:ascii="Times New Roman"/>
          <w:b w:val="false"/>
          <w:i w:val="false"/>
          <w:color w:val="000000"/>
          <w:vertAlign w:val="subscript"/>
        </w:rPr>
        <w:t>техн.мин</w:t>
      </w:r>
      <w:r>
        <w:rPr>
          <w:rFonts w:ascii="Times New Roman"/>
          <w:b w:val="false"/>
          <w:i w:val="false"/>
          <w:color w:val="000000"/>
          <w:sz w:val="28"/>
        </w:rPr>
        <w:t>; Р</w:t>
      </w:r>
      <w:r>
        <w:rPr>
          <w:rFonts w:ascii="Times New Roman"/>
          <w:b w:val="false"/>
          <w:i w:val="false"/>
          <w:color w:val="000000"/>
          <w:vertAlign w:val="subscript"/>
        </w:rPr>
        <w:t>технол.мин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bookmarkEnd w:id="126"/>
    <w:bookmarkStart w:name="z2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раб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рабочей электрической мощности генерации электрической станции энергопроизводящей организации на соответствующий час суток, согласно ведомости рабочих электрических мощностей генерации, технологических и технических минимумов, в МВт;</w:t>
      </w:r>
    </w:p>
    <w:bookmarkEnd w:id="127"/>
    <w:bookmarkStart w:name="z2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техн.мин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технического минимума электрической станции энергопроизводящей организации на соответствующий час суток, согласно ведомости рабочих электрических мощностей генерации, технологических и технических минимумов, в МВт;</w:t>
      </w:r>
    </w:p>
    <w:bookmarkEnd w:id="128"/>
    <w:bookmarkStart w:name="z2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технол.мин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технологического минимум электрической станции энергопроизводящей организации на соответствующий час суток, согласно ведомости рабочих электрических мощностей генерации, технологических и технических минимумов, в МВт;</w:t>
      </w:r>
    </w:p>
    <w:bookmarkEnd w:id="129"/>
    <w:bookmarkStart w:name="z2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max(Р</w:t>
      </w:r>
      <w:r>
        <w:rPr>
          <w:rFonts w:ascii="Times New Roman"/>
          <w:b w:val="false"/>
          <w:i w:val="false"/>
          <w:color w:val="000000"/>
          <w:vertAlign w:val="subscript"/>
        </w:rPr>
        <w:t>техн.мин</w:t>
      </w:r>
      <w:r>
        <w:rPr>
          <w:rFonts w:ascii="Times New Roman"/>
          <w:b w:val="false"/>
          <w:i w:val="false"/>
          <w:color w:val="000000"/>
          <w:sz w:val="28"/>
        </w:rPr>
        <w:t>; Р</w:t>
      </w:r>
      <w:r>
        <w:rPr>
          <w:rFonts w:ascii="Times New Roman"/>
          <w:b w:val="false"/>
          <w:i w:val="false"/>
          <w:color w:val="000000"/>
          <w:vertAlign w:val="subscript"/>
        </w:rPr>
        <w:t>технол.мин</w:t>
      </w:r>
      <w:r>
        <w:rPr>
          <w:rFonts w:ascii="Times New Roman"/>
          <w:b w:val="false"/>
          <w:i w:val="false"/>
          <w:color w:val="000000"/>
          <w:sz w:val="28"/>
        </w:rPr>
        <w:t>) – наибольшее из значений</w:t>
      </w:r>
    </w:p>
    <w:bookmarkEnd w:id="130"/>
    <w:bookmarkStart w:name="z2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Р</w:t>
      </w:r>
      <w:r>
        <w:rPr>
          <w:rFonts w:ascii="Times New Roman"/>
          <w:b w:val="false"/>
          <w:i w:val="false"/>
          <w:color w:val="000000"/>
          <w:vertAlign w:val="subscript"/>
        </w:rPr>
        <w:t>раб</w:t>
      </w:r>
      <w:r>
        <w:rPr>
          <w:rFonts w:ascii="Times New Roman"/>
          <w:b w:val="false"/>
          <w:i w:val="false"/>
          <w:color w:val="000000"/>
          <w:sz w:val="28"/>
        </w:rPr>
        <w:t>, Р</w:t>
      </w:r>
      <w:r>
        <w:rPr>
          <w:rFonts w:ascii="Times New Roman"/>
          <w:b w:val="false"/>
          <w:i w:val="false"/>
          <w:color w:val="000000"/>
          <w:vertAlign w:val="subscript"/>
        </w:rPr>
        <w:t>техн.мин</w:t>
      </w:r>
      <w:r>
        <w:rPr>
          <w:rFonts w:ascii="Times New Roman"/>
          <w:b w:val="false"/>
          <w:i w:val="false"/>
          <w:color w:val="000000"/>
          <w:sz w:val="28"/>
        </w:rPr>
        <w:t>, Р</w:t>
      </w:r>
      <w:r>
        <w:rPr>
          <w:rFonts w:ascii="Times New Roman"/>
          <w:b w:val="false"/>
          <w:i w:val="false"/>
          <w:color w:val="000000"/>
          <w:vertAlign w:val="subscript"/>
        </w:rPr>
        <w:t>технол.мин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согласно Правилам рынка мощности. Задействование регулировочной электрической мощности производиться на загрузку в пределах рабочей электрической мощности, на разгрузку до наибольшего из значений Р</w:t>
      </w:r>
      <w:r>
        <w:rPr>
          <w:rFonts w:ascii="Times New Roman"/>
          <w:b w:val="false"/>
          <w:i w:val="false"/>
          <w:color w:val="000000"/>
          <w:vertAlign w:val="subscript"/>
        </w:rPr>
        <w:t>техн.мин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</w:t>
      </w:r>
      <w:r>
        <w:rPr>
          <w:rFonts w:ascii="Times New Roman"/>
          <w:b w:val="false"/>
          <w:i w:val="false"/>
          <w:color w:val="000000"/>
          <w:vertAlign w:val="subscript"/>
        </w:rPr>
        <w:t>технол.мин</w:t>
      </w:r>
    </w:p>
    <w:bookmarkEnd w:id="131"/>
    <w:bookmarkStart w:name="z2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 целях обеспечения заданного диапазона регулирования среднечасовая генерация электрической энергии при формировании суточных графиков генерации, вновь вводимых в эксплуатацию и (или) реконструируемых генерирующих установок с маневренным режимом генерации учитывается на уровне:</w:t>
      </w:r>
    </w:p>
    <w:bookmarkEnd w:id="132"/>
    <w:bookmarkStart w:name="z2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(0,65*Р) + max(Р</w:t>
      </w:r>
      <w:r>
        <w:rPr>
          <w:rFonts w:ascii="Times New Roman"/>
          <w:b w:val="false"/>
          <w:i w:val="false"/>
          <w:color w:val="000000"/>
          <w:vertAlign w:val="subscript"/>
        </w:rPr>
        <w:t>техн.мин</w:t>
      </w:r>
      <w:r>
        <w:rPr>
          <w:rFonts w:ascii="Times New Roman"/>
          <w:b w:val="false"/>
          <w:i w:val="false"/>
          <w:color w:val="000000"/>
          <w:sz w:val="28"/>
        </w:rPr>
        <w:t>; Р</w:t>
      </w:r>
      <w:r>
        <w:rPr>
          <w:rFonts w:ascii="Times New Roman"/>
          <w:b w:val="false"/>
          <w:i w:val="false"/>
          <w:color w:val="000000"/>
          <w:vertAlign w:val="subscript"/>
        </w:rPr>
        <w:t>технол.мин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133"/>
    <w:bookmarkStart w:name="z2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в целях обеспечения заданного диапазона регулирования среднечасовая генерация электрической энергии при формировании суточных графиков генерации, вновь вводимых в эксплуатацию генерирующих установок с маневренным режимом генерации учитывается на уровне:</w:t>
      </w:r>
    </w:p>
    <w:bookmarkEnd w:id="134"/>
    <w:bookmarkStart w:name="z2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(0,8*Р) + max(Р</w:t>
      </w:r>
      <w:r>
        <w:rPr>
          <w:rFonts w:ascii="Times New Roman"/>
          <w:b w:val="false"/>
          <w:i w:val="false"/>
          <w:color w:val="000000"/>
          <w:vertAlign w:val="subscript"/>
        </w:rPr>
        <w:t>техн.мин</w:t>
      </w:r>
      <w:r>
        <w:rPr>
          <w:rFonts w:ascii="Times New Roman"/>
          <w:b w:val="false"/>
          <w:i w:val="false"/>
          <w:color w:val="000000"/>
          <w:sz w:val="28"/>
        </w:rPr>
        <w:t>; Р</w:t>
      </w:r>
      <w:r>
        <w:rPr>
          <w:rFonts w:ascii="Times New Roman"/>
          <w:b w:val="false"/>
          <w:i w:val="false"/>
          <w:color w:val="000000"/>
          <w:vertAlign w:val="subscript"/>
        </w:rPr>
        <w:t>технол.мин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