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37c9" w14:textId="63f3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 по вопросам платежей и платежных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ноября 2018 года № 302. Зарегистрировано в Министерстве юстиции Республики Казахстан 15 января 2019 года № 18191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30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", от 26 июля 2016 года "</w:t>
      </w:r>
      <w:r>
        <w:rPr>
          <w:rFonts w:ascii="Times New Roman"/>
          <w:b w:val="false"/>
          <w:i w:val="false"/>
          <w:color w:val="000000"/>
          <w:sz w:val="28"/>
        </w:rPr>
        <w:t>О платежах и платежных системах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"О некоторых вопросах административно-территориального устройства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и дополнения по вопросам платежей и платежных систем,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302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 по вопросам платежей и платежных систем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203 "Об утверждении Правил применения кодов секторов экономики и назначения платежей" (зарегистрировано в Реестре государственной регистрации нормативных правовых актов под № 14365, опубликовано 14 ноября 2016 года в информационно-правовой системе "Әділет") следующие изменения и дополнения: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кодов секторов экономики и назначения платежей, утвержденных указанным постановлением: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применения кодов секторов экономики и назначения платежей, установленный Правилами, применяется: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оформлении платежных документов на бумажном носителе и при обмене электронными документами при осуществлении платежей и (или) переводов денег;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осуществлении внутрибанковских и межбанковских платежей и (или) переводов денег, инициированных на территории Республики Казахстан, проводимых внутри страны, отправляемых за рубеж.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входящему из-за рубежа платежу и (или) переводу денег при отсутствии в платежном документе проставленных кодов секторов экономики и назначения платежей банк-резидент Республики Казахстан самостоятельно проставляет в информационных системах банка коды секторов экономики и назначения платежей на основании полученных по платежу и (или) переводу денег документов.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входящему платежу и (или) переводу денег по системе мгновенных платежей банк бенефициара проставляет в информационной системе банка коды секторов экономики бенефициара и назначения платежей на основании сведений по бенефициару.";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Детализированной таблице кодов назначения платежей: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"Специфические переводы":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пятой кода 182 "Операции по гарантии" дополнить кодами 183 и 184 следующего содержания: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3532"/>
        <w:gridCol w:w="5243"/>
        <w:gridCol w:w="2024"/>
      </w:tblGrid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совокупный платеж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ошибочно перечисленных (зачисленных) сумм единого совокупного платежа 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шестой кода 190 "Прочие переводы по разделу 1," дополнить кодом 191 следующего содержания: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2"/>
        <w:gridCol w:w="3840"/>
        <w:gridCol w:w="4688"/>
        <w:gridCol w:w="2140"/>
      </w:tblGrid>
      <w:tr>
        <w:trPr>
          <w:trHeight w:val="30" w:hRule="atLeast"/>
        </w:trPr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Мгновенные платежи и (или) переводы денег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208 "Об утверждении Правил осуществления безналичных платежей и (или) переводов денег на территории Республики Казахстан" (зарегистрировано в Реестре государственной регистрации нормативных правовых актов под № 14419, опубликовано 8 декабря 2016 года в информационно-правовой системе "Әділет") следующие изменения и дополнение: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утвержденных указанным постановлением: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При проведении платежей и (или) переводов денег по банковским счетам в платежном документе по бенефициару вместо реквизитов,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Правил, в соответствии с требованиями функционирования платежной системы допускается указание инициатором лишь альтернативного идентификатора.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под альтернативным идентификатором понимаются отдельные реквизиты, в том числе в виде буквенно-цифровых символов, которые позволяют идентифицировать клиента и осуществить платеж и (или) перевод денег через платежную систему.";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безналичных платежей и (или) переводов денег без открытия банковского счета производится на основании квитанций, приходных кассовых ордеров, счетов-извещений, квитанций-извещений на уплату платежей в бюджет, квитанций-извещений на перечисление обязательных пенсионных взносов, обязательных пенсионных взносов работодателя, обязательных профессиональных пенсионных взносов, квитанций-извещений на уплату социальных отчислений в Государственный фонд социального страхования, отчислений и (или) взносов в фонд социального медицинского страхования, на уплату единого совокупного платежа в некоммерческое акционерное общество "Государственная корпорация "Правительство для граждан" (далее – НАО "Государственная корпорация "Правительство для граждан") и других документов, используемых для принятия наличных денег. Данные документы являются платежными извещениями. Исправления на платежных извещениях, представленных на бумажном носителе, не допускаются.";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Для уплаты социальных отчислений в Государственный фонд социального страхования, отчислений и (или) взносов в фонд социального медицинского страхования, единого совокупного платежа в НАО "Государственная корпорация "Правительство для граждан" без открытия или использования банковского счета платежное извещение предъявляется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настоящего пункта не распространяются на счета-извещения на оплату коммунальных услуг, квитанции-извещения на уплату физическими лицами, индивидуальными предпринимателями и юридическими лицами платежей в бюджет, а также на квитанции-извещения на перечисление обязательных пенсионных взносов, обязательных пенсионных взносов работодателя, обязательных профессиональных пенсионных взносов и уплату социальных отчислений в Государственный фонд социального страхования, отчислений и (или) взносов в фонд социального медицинского страхования, единого совокупного платежа в НАО "Государственная корпорация "Правительство для граждан".";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Идентификация банка отправителя денег, банка бенефициара производится по банковскому идентификационному коду, указанному в платежном документе.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не определяет фактическое соответствие наименования банка его банковскому идентификационному коду, указанному в платежном документе.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возможность принятия к исполнению платежного документа при несоответствии организационно-правовой формы банка отправителя денег и (или) банка бенефициара, в случае идентификации банка отправителя денег и (или) банка бенефициара по банковскому идентификационному коду, указанному в платежном документе.";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"80. Банк отправителя денег отказывает в исполнении платежного документа в случаях: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платежный документ содержит признаки подделки, в том числе, если платежный документ передан с нарушением порядка защитных действий от несанкционированных платежей,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Правилами, договором между отправителем и банком отправителя денег;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платежный документ содержит исправления, дополнения и помарки, за исключением: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ранее предъявленных инкассовых распоряжений к банковским счетам отправителя денег, в случаях, когда бенефициар обслуживается в банке – правопреемнике в рамках операций, предусмотренных статьями 60-1, 61-2, 61-11 и 61-12 Закона о банках и банковской деятельности. Исполнение таких инкассовых распоряжений осуществляется с исправлением банковских реквизитов бенефициара (ИИК, наименование и банковский идентификационный код банка бенефициара), на основании документа банка-правопреемника, подтверждающего реквизиты бенефициара и банка бенефициара;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ИИК, ИИН (БИН) отправителя денег реквизитам, указанным в платежном документе, за исключением исправления банком отправителя денег в платежных документах ИИК клиента в случаях, предусмотренных статьями 60-1, 61-2, 61-11 и 61-12 Закона о банках и банковской деятельности, при исполнении платежного документа с других банковских счетов клиента, в случаях, предусмотренных Правилами;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ИИН (БИН) отправителя денег, указанного в платежном документе в уплату налогов и других обязательных платежей в бюджет, социальных отчислений в Государственный фонд социального страхования, отчислений и (или) взносов в фонд социального медицинского страхования, перечислении обязательных пенсионных взносов, обязательных пенсионных взносов работодателя, обязательных профессиональных пенсионных взносов, единого совокупного платежа, с данными, предоставляемыми органом государственных доходов;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несоблюдения отправителем денег требований к порядку составления и предъявления платежного документа,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Правилами, а также условиями договора между отправителем и банком;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несоответствия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несоответствия наименования клиента наименованию отправителя денег, указанному в платежном документе, за исключением инкассового распоряжения, предъявленного органом государственных доходов в электронной форме, когда другие реквизиты (ИИК, ИИН (БИН) идентифицируют клиента банка, а также инкассового распоряжения судебного исполнителя при идентификации клиента банка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несоответствия кодового обозначения назначения платежа его текстовой части;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отсутствия цифрового обозначения кода бюджетной классификации при уплате платежей в бюджет;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несоответствия сумм, указанных в платежном документе, цифрами и прописью;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несоответствия идентификационного номера транспортного средства, указанного в платежном документе, с данными, представленными центральным исполнительным органом по безопасности дорожного движения при уплате налогов на транспортное средство;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несоблюдения требований, установленных условиями договора между отправителем и банком отправителя;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случаях, предусмотренных Правилами № 154;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случаях, когда требование о взыскании денег с банковского счета предъявлено к банковскому счету, предназначенному для зачисления пособий, социальных выплат, выплачиваемых из государственного бюджета и (или) Государственного фонда социального страхования, жилищных выплат, денег, внесенных на условиях депозита нотариуса, а также открытому по договору об образовательном накопительном вкладе, заключенном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января 2013 года "О Государственной образовательной накопительной системе" (далее – Закон о государственной образовательной накопительной системе), денег, находящихся на банковских счетах в жилищных строительных сберегательных банках в виде жилищных строительных сбережений, накопленных за счет использования жилищных выплат;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случаях, если снятие денег с текущего счета, открытого для учета движения расчетов по налогу на добавленную стоимость, не связано с: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уплатой налога на добавленную стоимость в бюджет, включая налог на добавленную стоимость на импорт и за нерезидента;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уплатой налога на добавленную стоимость поставщикам товаров;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уплатой налога на добавленную стоимость покупателями (получателями) товаров;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зачислением денег на иной текущий счет, открытый для учета и движения сумм налога на добавленную стоимость;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несоответствия наименования банка отправителя денег и (или) банка бенефициара наименованию банка отправителя денег и (или) банка бенефициара, указанному в платежном документе, за исключением случая,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Банк бенефициара отказывает в исполнении платежного документа в случаях: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несоблюдения отправителем требований к порядку составления и предъявления платежного документа,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системах, Правилами, а также условиями договора между отправителем и банком;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несанкционированного платежа, а также выявления и подтверждения обоснованных фактов неправомерности получения переводимых в пользу бенефициара денег;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ИИК, ИИН (БИН) реквизитам бенефициара, отсутствия ИИК в банке бенефициара;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зачисления денег на текущий счет, открытый по требованию клиента – физического лица для зачисления пособий, социальных выплат, выплачиваемых из государственного бюджета и (или) Государственного фонда социального страхования, жилищных выплат, денег, внесенных на условиях депозита нотариуса, а также открытому по договору об образовательном накопительном вкладе, заключенном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государственной образовательной накопительной системе, денег, находящихся на банковских счетах в жилищных строительных сберегательных банках в виде жилищных строительных сбережений, накопленных за счет использования жилищных выплат, в случае, если зачисляемая сумма денег не связана с указанными условиями;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зачисления денег на текущий счет, открытый для учета и движения сумм налога на добавленную стоимость, в случаях, если зачисляемая сумма денег не связана с: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уплатой налога на добавленную стоимость в бюджет, включая налог на добавленную стоимость на импорт и за нерезидента;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уплатой налога на добавленную стоимость поставщикам товаров;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уплатой налога на добавленную стоимость покупателями (получателями) товаров;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зачислением денег с иного банковского счета плательщика налога на добавленную стоимость;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случаях, предусмотренных Правилами № 154;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бенефициара исполняет платежный документ в случае несоответствия наименования бенефициара наименованию, указанному в платежном документе, когда его другие реквизиты (ИИК, ИИН (БИН), указанные в платежном документе, идентифицируют бенефициара.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изменение банком реквизитов платежного документа, за исключением: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случая изменения организационно-правовой формы отправителя денег и (или) бенефициара, реорганизации и переименования государственного органа и (или) его структурного подразделения, при сохранении реквизитов ИИК и БИН;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кодов бюджетной классификации органом государственных доходов.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изменение банком бенефициара реквизитов платежного документа,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95 Правил.";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При принятии платежного извещения к исполнению банк принимает обязательство осуществить перевод денег в пользу бенефициара. Наличные деньги, внесенные в уплату платежей в бюджет, а также в уплату обязательных пенсионных взносов, обязательных пенсионных взносов работодателя, обязательных профессиональных пенсионных взносов и социальных отчислений в Государственный фонд социального страхования, отчислений и (или) взносов в фонд социального медицинского страхования, единого совокупного платежа, подлежат перечислению бенефициару банком не позднее следующего операционного дня с даты их внесения в банк.";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некоторых постановлений Правления Национального Банка Республики Казахстан, в которые вносятся изменения и дополнения по вопросам платежей и платежных систем, (далее – Перечень).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213 "Об утверждении Правил представления сведений о платежных услугах" (зарегистрировано в Реестре государственной регистрации нормативных правовых актов под № 14339, опубликовано 4 ноября 2016 года в информационно-правовой системе "Әділет") следующие изменения: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о платежных услугах, утвержденных указанным постановлением: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Пояснений по заполнению формы, предназначенной для сбора административных данных "Сведения по приему и осуществлению платежей и (или) переводов денег с использованием и без использования банковского счета" изложить в следующей редакции: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в графе 14 указывается код назначения платежа.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отражении входящего платежа и (или) перевода денег из-за рубежа графы 8, 9 и 14 заполняются лицом, представляющим Форму, на основании платежных документов банка-корреспондента или международной системы и иных документов, служащих основанием для платежа и (или) перевода денег.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платежу и (или) переводу денег по системе мгновенных платежей: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 отправителя денег в графах 8, 9 проставляет признак резидентства и сектор экономики отправителя денег, графы 11, 12 не заполняются, в графе 14 – код назначения платежа, предусмотренный для платежа и (или) перевода денег по системе мгновенных платежей;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 бенефициара графы 8, 9 не заполняет, в графах 11, 12 проставляет признак резидентства и сектор экономики бенефициара, в графе 14 – код назначения платежа в зависимости от вида деятельности бенефициара.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8, 9, 10, 11, 12, 13 и 14 осуществляется группировка данных по одному признаку резидентства, сектору экономики, стране, коду назначения платежа с учетом совпадения иных параметров операций, платежей и (или) переводов денег;".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безналичных платежей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переводов денег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1597"/>
        <w:gridCol w:w="4998"/>
        <w:gridCol w:w="1152"/>
        <w:gridCol w:w="3369"/>
        <w:gridCol w:w="712"/>
      </w:tblGrid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социальных отчислений в Государственный фонд социального страхования, отчислений и (или) взносов в фонд социального медицинского страхования, единого совокупного платежа в некоммерческое акционерное общество "Государственная корпорация "Правительство для граждан")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Отправитель денег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(БИН)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 телефон отправителя денег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удостоверяющие личность_________________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Бенефициар НАО "Государственная корпорация "Правительство для граждан"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бенефициара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БИК__________________________________________________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платежа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 социального страхования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за несвоевременное перечисление социальных отчислений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социальное медицинское страхование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за несвоевременное перечисление отчислений на обязательное социальное медицинское страхование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за несвоевременное перечисление взносов на обязательное социальное медицинское страхование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совокупный платеж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(сумма прописью): 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</w:t>
            </w:r>
          </w:p>
          <w:bookmarkEnd w:id="9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отправителя денег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</w:t>
            </w:r>
          </w:p>
          <w:bookmarkEnd w:id="93"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(месяц, год)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его наличии) отправителя денег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  <w:bookmarkEnd w:id="94"/>
        </w:tc>
      </w:tr>
      <w:tr>
        <w:trPr>
          <w:trHeight w:val="30" w:hRule="atLeast"/>
        </w:trPr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социальных отчислений в Государственный фонд социального страхования, отчислений и (или) взносов в фонд социального медицинского страхования, единого совокупного платежа в некоммерческое акционерное общество "Государственная корпорация "Правительство для граждан")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Отправитель денег 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(БИН) 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отправителя денег и телефон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документа, удостоверяющие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Бенефициар НАО "Государственная корпорация "Правительство для граждан"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бенефициара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_______________________________________________</w:t>
            </w:r>
          </w:p>
          <w:bookmarkEnd w:id="9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платежа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КНП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 социального страхования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за несвоевременное перечисление социальных отчислений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социальное медицинское страхование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за несвоевременное перечисление отчислений на обязательное социальное медицинское страхование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 за несвоевременное перечисление взносов на обязательное социальное медицинское страхование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совокупный платеж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отправителя денег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</w:t>
            </w:r>
          </w:p>
          <w:bookmarkEnd w:id="96"/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(месяц, год)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отправителя денег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</w:p>
          <w:bookmarkEnd w:id="9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платежных услугах</w:t>
            </w:r>
          </w:p>
        </w:tc>
      </w:tr>
    </w:tbl>
    <w:bookmarkStart w:name="z14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о количестве электронных терминалов"</w:t>
      </w:r>
    </w:p>
    <w:bookmarkEnd w:id="98"/>
    <w:bookmarkStart w:name="z14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_______________ 20___ года</w:t>
      </w:r>
    </w:p>
    <w:bookmarkEnd w:id="99"/>
    <w:bookmarkStart w:name="z1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1–PK</w:t>
      </w:r>
    </w:p>
    <w:bookmarkEnd w:id="100"/>
    <w:bookmarkStart w:name="z1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01"/>
    <w:bookmarkStart w:name="z1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поставщики платежных услуг, имеющие электронные терминалы и (или) заключившие договоры с предпринимателями на обслуживание держателей платежных карточек, предоставляющие услуги интернет и мобильного банкинга:</w:t>
      </w:r>
    </w:p>
    <w:bookmarkEnd w:id="102"/>
    <w:bookmarkStart w:name="z1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банки; </w:t>
      </w:r>
    </w:p>
    <w:bookmarkEnd w:id="103"/>
    <w:bookmarkStart w:name="z1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организации, осуществляющие отдельные виды банковских операций; </w:t>
      </w:r>
    </w:p>
    <w:bookmarkEnd w:id="104"/>
    <w:bookmarkStart w:name="z1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платежные организации.</w:t>
      </w:r>
    </w:p>
    <w:bookmarkEnd w:id="105"/>
    <w:bookmarkStart w:name="z1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06"/>
    <w:bookmarkStart w:name="z1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месяцем.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3293"/>
        <w:gridCol w:w="1117"/>
        <w:gridCol w:w="1118"/>
        <w:gridCol w:w="1739"/>
        <w:gridCol w:w="2362"/>
      </w:tblGrid>
      <w:tr>
        <w:trPr>
          <w:trHeight w:val="30" w:hRule="atLeast"/>
        </w:trPr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POS-терминалов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банкоматов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банках, организациях, осуществляющих отдельные виды банковских операций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предпринимателей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функцией выдачи наличных денег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функцией выдачи и приема наличных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198"/>
        <w:gridCol w:w="2684"/>
        <w:gridCol w:w="5541"/>
        <w:gridCol w:w="922"/>
        <w:gridCol w:w="923"/>
      </w:tblGrid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киосков (единиц)</w:t>
            </w:r>
          </w:p>
          <w:bookmarkEnd w:id="109"/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платежных терминалов (единиц)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предпринимателей, заключивших договор с эквайером на обслуживание держателей платежных карточек (единиц)</w:t>
            </w:r>
          </w:p>
        </w:tc>
        <w:tc>
          <w:tcPr>
            <w:tcW w:w="5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точек, в которых установлены POS-терминалы и (или) иное оборудование для приема к оплате платежных карточек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 интернет и мобильного банкинга (единиц)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зарегистрировано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Активных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      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 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      номер телефона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 20 __ года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терминалов"</w:t>
            </w:r>
          </w:p>
        </w:tc>
      </w:tr>
    </w:tbl>
    <w:bookmarkStart w:name="z16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количестве электронных терминалов"</w:t>
      </w:r>
    </w:p>
    <w:bookmarkEnd w:id="111"/>
    <w:bookmarkStart w:name="z16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2"/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"Сведения о количестве электронных терминалов", (далее – Форма).</w:t>
      </w:r>
    </w:p>
    <w:bookmarkEnd w:id="113"/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114"/>
    <w:bookmarkStart w:name="z16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15"/>
    <w:bookmarkStart w:name="z16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предусмотренные графами 2, 3, 4, 5, 6, 7, 8, 9 и 10 Формы, указываются в разрезе областей, города республиканского значения и столицы на последнюю дату отчетного месяца.</w:t>
      </w:r>
    </w:p>
    <w:bookmarkEnd w:id="116"/>
    <w:bookmarkStart w:name="z16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2, 3 и 4 указывается количество POS-терминалов банка, организации, осуществляющей отдельные виды банковских операций, или предпринимателя, заключившего договор с эквайером на обслуживание держателей платежных карточек, в разбивке по месту нахождения.</w:t>
      </w:r>
    </w:p>
    <w:bookmarkEnd w:id="117"/>
    <w:bookmarkStart w:name="z16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количество стационарных (непереносных) POS-терминалов.</w:t>
      </w:r>
    </w:p>
    <w:bookmarkEnd w:id="118"/>
    <w:bookmarkStart w:name="z16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количество мобильных (переносных) POS-терминалов.</w:t>
      </w:r>
    </w:p>
    <w:bookmarkEnd w:id="119"/>
    <w:bookmarkStart w:name="z17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5 и 6 указывается количество банкоматов в разбивке по функциональным возможностям.</w:t>
      </w:r>
    </w:p>
    <w:bookmarkEnd w:id="120"/>
    <w:bookmarkStart w:name="z17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7 указывается количество банковских киосков.</w:t>
      </w:r>
    </w:p>
    <w:bookmarkEnd w:id="121"/>
    <w:bookmarkStart w:name="z17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8 указывается количество платежных терминалов на последнюю дату отчетного месяца.</w:t>
      </w:r>
    </w:p>
    <w:bookmarkEnd w:id="122"/>
    <w:bookmarkStart w:name="z17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9 указывается количество предпринимателей, заключивших договор с эквайером на обслуживание держателей платежных карточек.</w:t>
      </w:r>
    </w:p>
    <w:bookmarkEnd w:id="123"/>
    <w:bookmarkStart w:name="z17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10 указывается количество торговых точек, в которых установлены POS-терминалы и (или) иное оборудование для приема к оплате платежных карточек.</w:t>
      </w:r>
    </w:p>
    <w:bookmarkEnd w:id="124"/>
    <w:bookmarkStart w:name="z17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11 указывается количество зарегистрированных пользователей интернет и мобильного банкинга.</w:t>
      </w:r>
    </w:p>
    <w:bookmarkEnd w:id="125"/>
    <w:bookmarkStart w:name="z17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12 указывается количество пользователей интернет и мобильного банкинга, осуществлявших операции в отчетном периоде.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платежных услугах</w:t>
            </w:r>
          </w:p>
        </w:tc>
      </w:tr>
    </w:tbl>
    <w:bookmarkStart w:name="z17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"Сведения по платежным карточкам"</w:t>
      </w:r>
    </w:p>
    <w:bookmarkEnd w:id="127"/>
    <w:bookmarkStart w:name="z18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_______________ 20___ года</w:t>
      </w:r>
    </w:p>
    <w:bookmarkEnd w:id="128"/>
    <w:bookmarkStart w:name="z1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2–PK</w:t>
      </w:r>
    </w:p>
    <w:bookmarkEnd w:id="129"/>
    <w:bookmarkStart w:name="z1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30"/>
    <w:bookmarkStart w:name="z1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поставщики платежных услуг, являющиеся эмитентами платежных карточек:</w:t>
      </w:r>
    </w:p>
    <w:bookmarkEnd w:id="131"/>
    <w:bookmarkStart w:name="z1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банки; </w:t>
      </w:r>
    </w:p>
    <w:bookmarkEnd w:id="132"/>
    <w:bookmarkStart w:name="z1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операций.</w:t>
      </w:r>
    </w:p>
    <w:bookmarkEnd w:id="133"/>
    <w:bookmarkStart w:name="z1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34"/>
    <w:bookmarkStart w:name="z1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месяцем.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платежным карточкам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лица, представляющего форму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9"/>
        <w:gridCol w:w="1978"/>
        <w:gridCol w:w="1548"/>
        <w:gridCol w:w="1978"/>
        <w:gridCol w:w="1548"/>
        <w:gridCol w:w="1549"/>
      </w:tblGrid>
      <w:tr>
        <w:trPr>
          <w:trHeight w:val="30" w:hRule="atLeast"/>
        </w:trPr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платежной карточки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платежных карточек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обращении (единиц)</w:t>
            </w:r>
          </w:p>
          <w:bookmarkEnd w:id="13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 с кредитным лимитом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пределами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206"/>
        <w:gridCol w:w="1726"/>
        <w:gridCol w:w="2679"/>
        <w:gridCol w:w="39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использованных платежных карточек (единиц)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держателей платежных карточек (человек)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дебетные с кредитным лимитом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кредитные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предоплаченные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     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            номер телефона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____________ 20 __ года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платежным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карточкам"</w:t>
            </w:r>
          </w:p>
        </w:tc>
      </w:tr>
    </w:tbl>
    <w:bookmarkStart w:name="z19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по платежным карточкам"</w:t>
      </w:r>
    </w:p>
    <w:bookmarkEnd w:id="140"/>
    <w:bookmarkStart w:name="z19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"/>
    <w:bookmarkStart w:name="z1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"Сведения по платежным карточкам", (далее – Форма).</w:t>
      </w:r>
    </w:p>
    <w:bookmarkEnd w:id="142"/>
    <w:bookmarkStart w:name="z1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143"/>
    <w:bookmarkStart w:name="z19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44"/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2 указывается наименование системы платежной карточки, по которой представляются сведения.</w:t>
      </w:r>
    </w:p>
    <w:bookmarkEnd w:id="145"/>
    <w:bookmarkStart w:name="z2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3, 4, 5 и 6 указывается количество выпущенных в обращение платежных карточек на последнюю дату отчетного месяца с учетом основных и дополнительных платежных карточек.</w:t>
      </w:r>
    </w:p>
    <w:bookmarkEnd w:id="146"/>
    <w:bookmarkStart w:name="z2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7, 8, 9 и 10 указывается количество платежных карточек, которые использовались в отчетном месяце для проведения операций и получения информационных банковских услуг с учетом основных и дополнительных платежных карточек. Платежная карточка, используемая в отчетном месяце несколько раз, указывается единожды.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11 указывается количество держателей платежных карточек на последнюю дату отчетного месяца. В случае наличия у одного держателя нескольких платежных карточек, такой держатель указывается единожды.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"за пределами Республики Казахстан" указываются сведения по платежным карточкам, распространенным банком, организацией, осуществляющей отдельные виды банковских операций, за рубежом.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платежных систем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платежных услугах</w:t>
            </w:r>
          </w:p>
        </w:tc>
      </w:tr>
    </w:tbl>
    <w:bookmarkStart w:name="z20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количестве и объемах операций в разрезе регионов"</w:t>
      </w:r>
    </w:p>
    <w:bookmarkEnd w:id="150"/>
    <w:bookmarkStart w:name="z20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период: за _______________ 20___ года</w:t>
      </w:r>
    </w:p>
    <w:bookmarkEnd w:id="151"/>
    <w:bookmarkStart w:name="z20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5–PK</w:t>
      </w:r>
    </w:p>
    <w:bookmarkEnd w:id="152"/>
    <w:bookmarkStart w:name="z2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53"/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поставщики платежных услуг, являющиеся эмитентами платежных карточек и (или) эквайерами:</w:t>
      </w:r>
    </w:p>
    <w:bookmarkEnd w:id="154"/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банки; </w:t>
      </w:r>
    </w:p>
    <w:bookmarkEnd w:id="155"/>
    <w:bookmarkStart w:name="z2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операций.</w:t>
      </w:r>
    </w:p>
    <w:bookmarkEnd w:id="156"/>
    <w:bookmarkStart w:name="z2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Национальный Банк Республики Казахстан</w:t>
      </w:r>
    </w:p>
    <w:bookmarkEnd w:id="157"/>
    <w:bookmarkStart w:name="z2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месяцем.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 в разрезе регионов</w:t>
      </w:r>
    </w:p>
    <w:bookmarkEnd w:id="159"/>
    <w:bookmarkStart w:name="z21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наименование лица, представляющего форму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1"/>
        <w:gridCol w:w="1189"/>
        <w:gridCol w:w="2067"/>
        <w:gridCol w:w="2067"/>
        <w:gridCol w:w="2068"/>
        <w:gridCol w:w="2068"/>
      </w:tblGrid>
      <w:tr>
        <w:trPr>
          <w:trHeight w:val="30" w:hRule="atLeast"/>
        </w:trPr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столицы, города республиканского значения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 платежной карточки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безналичные платежи и (или) переводы денег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выдаче наличных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 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            номер телефона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"____" _____________ 20 __ года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в разрезе регионов"</w:t>
            </w:r>
          </w:p>
        </w:tc>
      </w:tr>
    </w:tbl>
    <w:bookmarkStart w:name="z22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количестве и объемах операций в разрезе регионов"</w:t>
      </w:r>
    </w:p>
    <w:bookmarkEnd w:id="162"/>
    <w:bookmarkStart w:name="z22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3"/>
    <w:bookmarkStart w:name="z2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требования по заполнению формы, предназначенной для сбора административных данных "Сведения о количестве и объемах операций в разрезе регионов", (далее – Форма).</w:t>
      </w:r>
    </w:p>
    <w:bookmarkEnd w:id="164"/>
    <w:bookmarkStart w:name="z2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26 июля 2016 года "О платежах и платежных системах".</w:t>
      </w:r>
    </w:p>
    <w:bookmarkEnd w:id="165"/>
    <w:bookmarkStart w:name="z2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в тенге. Если операция совершается в иностранной валюте, сведения по ней представляются в пересчете на тенге по рыночному курсу обмена валют на день совершения операции.</w:t>
      </w:r>
    </w:p>
    <w:bookmarkEnd w:id="166"/>
    <w:bookmarkStart w:name="z22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167"/>
    <w:bookmarkStart w:name="z2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содержит сведения по безналичным платежам и (или) переводам денег, а также операциям по выдаче наличных денег, осуществленным с использованием платежных карточек.</w:t>
      </w:r>
    </w:p>
    <w:bookmarkEnd w:id="168"/>
    <w:bookmarkStart w:name="z2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указываются по месту нахождения оборудования, с использованием которого была осуществлена операция. В случае проведения операции через интернет, мобильный телефон или иную систему удаленного доступа сведения указываются по месту текущего ведения банковского счета клиента в информационной системе банка, организации, осуществляющей отдельные виды банковских операций.</w:t>
      </w:r>
    </w:p>
    <w:bookmarkEnd w:id="169"/>
    <w:bookmarkStart w:name="z22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среда проведения операции – наименование электронного терминала или системы удаленного доступа.</w:t>
      </w:r>
    </w:p>
    <w:bookmarkEnd w:id="170"/>
    <w:bookmarkStart w:name="z23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3, 4, 5 и 6 указываются количество и сумма операций по безналичным платежам и (или) переводам денег, а также операциям по выдаче наличных денег с использованием платежных карточек. Количество и сумма операций, предусмотренные указанными графами, рассчитываются путем суммирования количества и суммы операций по следующим признакам операции (на момент списания денег с банковского счета):</w:t>
      </w:r>
    </w:p>
    <w:bookmarkEnd w:id="171"/>
    <w:bookmarkStart w:name="z23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– операции, совершенные с использованием платежных карточек банка, организации, осуществляющей отдельные виды банковских операций, в собственной сети обслуживания;</w:t>
      </w:r>
    </w:p>
    <w:bookmarkEnd w:id="172"/>
    <w:bookmarkStart w:name="z23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– операции, совершенные в собственной сети обслуживания с использованием платежных карточек других банков Республики Казахстан, организаций, осуществляющих отдельные виды банковских операций Республики Казахстан;</w:t>
      </w:r>
    </w:p>
    <w:bookmarkEnd w:id="173"/>
    <w:bookmarkStart w:name="z23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операции, совершенные в собственной сети обслуживания с использованием платежных карточек, выпущенных эмитентами-нерезидентами Республики Казахстан, а также распространяемых банками Республики Казахстан, организациями, осуществляющими отдельные виды банковских операций Республики Казахстан, эмитентами которых являются нерезиденты Республики Казахстан.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