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bc6" w14:textId="d687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декабря 2018 года № С 32-3. Зарегистрировано Департаментом юстиции Акмолинской области 26 декабря 2018 года № 6977. Утратило силу решением Аккольского районного маслихата Акмолинской области от 26 февраля 2019 года № С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предоставлении жилищной помощи",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27 апреля 2016 года № С 2-3 "Об определении порядка и размера оказания жилищной помощи малообеспеченным семьям (гражданам) проживающим в Аккольском районе" (зарегистрировано в Реестре государственной регистрации нормативных правовых актов № 5362, опубликовано 3 июня 2016 года в районных газетах "Ақкөл өмірі" и "Знамя Родины KZ").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Аккольском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Порядок оказания жилищной помощи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Аккольского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Аккольского района" (далее – уполномоченный орган),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–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Размер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10 % к совокупному доходу семьи (гражданина) на оплату: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