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5c99" w14:textId="8b9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марта 2018 года № 137. Зарегистрировано Управлением юстиции Иргизского района Актюбинской области 26 марта 2018 года № 3-5-170. Утратило силу решением Иргизского районного маслихата Актюбинской области от 11 мая 2023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февраля 2017 года №67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 (зарегистрированное в реестре государственной регистрации нормативных правовых актов №5325, опубликованное 29 марта 2017 года в районной газете "Ырғыз").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Иргизского районного маслихата от 5 марта 2018 года № 137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годовым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ротацию,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главного специалиста аппарата маслихата, в функциональные обязанности которого входит ведение работы кадровой службы (далее – главный специалист аппарата маслихата).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корпуса"Б" по достижению КЦИ и необходимым для этого мерам.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и подписывает его.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маслихата формирует график проведения оценки по согласованию с председателем Комиссии и обеспечивает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лиц, осуществляющих оценку, о ее проведении за семь рабочих дней.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распоряжении о создании Комиссии.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маслихата. Секретарь Комиссии не принимает участие в голосовании.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предоставляет на заседание Комиссии следующие документы: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 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маслихата ознакамливает служащего корпуса "Б" с результатами оценки в течение двух рабочих дней со дня ее завершения.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Иргизского районного маслихата Актюбинской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Иргизского районного маслихата Актюбинской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            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            подпись 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•Делится опытом и знаниями с коллегами для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передает опыт и знания коллегам для совместного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