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5f1f" w14:textId="3895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Мугалжарского района</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16 мая 2018 года № 206. Зарегистрировано Управлением юстиции Мугалжарского района Департамента юстиции Актюбинской области 4 июня 2018 года № 3-9-203.</w:t>
      </w:r>
    </w:p>
    <w:p>
      <w:pPr>
        <w:spacing w:after="0"/>
        <w:ind w:left="0"/>
        <w:jc w:val="left"/>
      </w:pP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Мугалжарского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Мугалжарского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для сел, сельских округов с численностью населения две тысячи и менее человек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секретарь Мугалжарского </w:t>
            </w: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16 мая 2018 года </w:t>
            </w:r>
            <w:r>
              <w:br/>
            </w:r>
            <w:r>
              <w:rPr>
                <w:rFonts w:ascii="Times New Roman"/>
                <w:b w:val="false"/>
                <w:i w:val="false"/>
                <w:color w:val="000000"/>
                <w:sz w:val="20"/>
              </w:rPr>
              <w:t>№ 206</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собрания местного сообщества Мугалжарского района</w:t>
      </w:r>
    </w:p>
    <w:p>
      <w:pPr>
        <w:spacing w:after="0"/>
        <w:ind w:left="0"/>
        <w:jc w:val="both"/>
      </w:pPr>
      <w:r>
        <w:rPr>
          <w:rFonts w:ascii="Times New Roman"/>
          <w:b w:val="false"/>
          <w:i w:val="false"/>
          <w:color w:val="ff0000"/>
          <w:sz w:val="28"/>
        </w:rPr>
        <w:t xml:space="preserve">
      Сноска. Регламент – в редакции решения Мугалжарского районного маслихата Актюбинской области от 18.07.2023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bookmarkStart w:name="z33" w:id="4"/>
    <w:p>
      <w:pPr>
        <w:spacing w:after="0"/>
        <w:ind w:left="0"/>
        <w:jc w:val="both"/>
      </w:pPr>
      <w:r>
        <w:rPr>
          <w:rFonts w:ascii="Times New Roman"/>
          <w:b w:val="false"/>
          <w:i w:val="false"/>
          <w:color w:val="000000"/>
          <w:sz w:val="28"/>
        </w:rPr>
        <w:t xml:space="preserve">
      1. Настоящий Регламент собрания местного сообщества Мугалжарского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bookmarkEnd w:id="4"/>
    <w:bookmarkStart w:name="z34"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города районного значения, сельского округа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11" w:id="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7"/>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bookmarkStart w:name="z13" w:id="8"/>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8"/>
    <w:bookmarkStart w:name="z14"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5" w:id="10"/>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1"/>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2"/>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3"/>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4"/>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5"/>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6"/>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7"/>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4" w:id="19"/>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Мугалжарский районный маслихат (далее – районный маслихат).</w:t>
      </w:r>
    </w:p>
    <w:bookmarkStart w:name="z25" w:id="20"/>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
    <w:bookmarkStart w:name="z26" w:id="21"/>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2"/>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2"/>
    <w:bookmarkStart w:name="z28" w:id="23"/>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3"/>
    <w:bookmarkStart w:name="z29"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30" w:id="25"/>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5"/>
    <w:bookmarkStart w:name="z31" w:id="26"/>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