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5955" w14:textId="4c15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 марта 2018 года № 191. Зарегистрировано Управлением юстиции Хромтауского района Актюбинской области 19 марта 2018 года № 3-12-163. Утратило силу решением Хромтауского районного маслихата Актюбинской области от 5 марта 2020 года №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зарегистрированный в Реестре государственной регистрации нормативных правовых актов № 16299,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Хромтауского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17 февраля 2017 года №84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маслихата"" (зарегистрированное в Реестре государственной регистрации нормативных правовых актов №5329, опубликованное 18 марта 2017 года в районной газете "Хромтау").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годовым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руководителем,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стажировке,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структурное подразделение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структурном подразделении аппарата маслихата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структурном подразделении аппарата маслихата.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фактов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структурного подразделения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 и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структурного подразделения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структурного подразделения аппарата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структурного подразделения аппарата маслихата.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структурного подразделения аппарата маслихата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аппарата маслихата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структурного подразделения аппарата маслихата результаты оценки служащего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(оцениваемый период)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