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28eb" w14:textId="8902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Хромтауского района</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30 мая 2018 года № 213. Зарегистрировано Управлением юстиции Хромтауского района Департамента юстиции Актюбинской области 13 июня 2018 года № 3-12-174</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Хромтауский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Хромтауского районного маслихата Актюбинской области от 05.11.2021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Хромтауского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Хромтауского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Хромтауского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 – ресурсе Хромтауского районного маслихата.</w:t>
      </w:r>
    </w:p>
    <w:bookmarkStart w:name="z3"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Шипилова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30 мая 2018 года № 213</w:t>
            </w:r>
          </w:p>
        </w:tc>
      </w:tr>
    </w:tbl>
    <w:p>
      <w:pPr>
        <w:spacing w:after="0"/>
        <w:ind w:left="0"/>
        <w:jc w:val="left"/>
      </w:pPr>
      <w:r>
        <w:rPr>
          <w:rFonts w:ascii="Times New Roman"/>
          <w:b/>
          <w:i w:val="false"/>
          <w:color w:val="000000"/>
        </w:rPr>
        <w:t xml:space="preserve"> Регламент собрания местного сообщества Хромтауского района</w:t>
      </w:r>
    </w:p>
    <w:p>
      <w:pPr>
        <w:spacing w:after="0"/>
        <w:ind w:left="0"/>
        <w:jc w:val="both"/>
      </w:pPr>
      <w:r>
        <w:rPr>
          <w:rFonts w:ascii="Times New Roman"/>
          <w:b w:val="false"/>
          <w:i w:val="false"/>
          <w:color w:val="ff0000"/>
          <w:sz w:val="28"/>
        </w:rPr>
        <w:t xml:space="preserve">
      Сноска. Приложение – в редакции решения Хромтауского районного маслихата Актюбинской области от 27.07.2023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Типовой регламент собрания местного сообщества Хромтауского района (далее – Типовой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сельского округа,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района (города областного значения).</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Количество членов собрания местного сообщества Хромтауского района от 21 до 25 человек.</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Хромтауский 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