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beb78" w14:textId="bbbeb7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по управлению пастбищами и их использованию по Каратальскому району на 2018-2019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5 мая 2018 года № 34-146. Зарегистрировано Департаментом юстиции Алматинской области 22 мая 2018 года № 4713. Утратило силу решением Каратальского районного маслихата Алматинской области от 21 ноября 2018 года № 44-169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Каратальского районного маслихата Алматинской области от 21.11.2018 </w:t>
      </w:r>
      <w:r>
        <w:rPr>
          <w:rFonts w:ascii="Times New Roman"/>
          <w:b w:val="false"/>
          <w:i w:val="false"/>
          <w:color w:val="ff0000"/>
          <w:sz w:val="28"/>
        </w:rPr>
        <w:t>№ 44-169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 Закона Республики Казахстан от 20 февраля 2017 года "О пастбищах", Каратальский районный маслихат РЕШИЛ: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План по управлению пастбищами и их использованию по Каратальскому району на 2018-2019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со дня государственной регистрации в органах юстиции и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Цой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Каратальского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Каратальского районногомаслихата от 5 мая 2018 года № 34-146 "Об утверждении Планапо управлению пастбищамии их использованию по Каратальскому районуна 2018-2019 годы"</w:t>
            </w:r>
            <w:r>
              <w:br/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по управлению пастбищами и их использованию по Каратальскому району на 2018-2019 годы</w:t>
      </w:r>
    </w:p>
    <w:bookmarkEnd w:id="4"/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Настоящий План по управлению пастбищами и их использованию по Каратальскому району на 2018-2019 годы (далее – План)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февраля 2017 года "О пастбищах", приказом Заместителя Премьер-Министра Республики Казахстан– Министра сельского хозяйства Республики Казахстан от 24 апреля 2017 года </w:t>
      </w:r>
      <w:r>
        <w:rPr>
          <w:rFonts w:ascii="Times New Roman"/>
          <w:b w:val="false"/>
          <w:i w:val="false"/>
          <w:color w:val="000000"/>
          <w:sz w:val="28"/>
        </w:rPr>
        <w:t>№ 173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рационального использования пастбищ" (зарегистрирован в Реестре государственной регистрации нормативных правовых актов № 15090), приказом Министра сельского хозяйства Республики Казахстан от 14 апреля 2015 года </w:t>
      </w:r>
      <w:r>
        <w:rPr>
          <w:rFonts w:ascii="Times New Roman"/>
          <w:b w:val="false"/>
          <w:i w:val="false"/>
          <w:color w:val="000000"/>
          <w:sz w:val="28"/>
        </w:rPr>
        <w:t>№ 3-3/332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предельно допустимой нормы нагрузки на общую площадь пастбищ" (зарегистрирован в Реестре государственной регистрации нормативных правовых актов № 11064).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принимается в целях рационального использования пастбищ, устойчивого обеспечения потребности в кормах и предотвращения процессов деградации пастбищ.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содержит: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схему (карту) расположения пастбищ на территории административно-территориальной единицы в разрезе категории земель, собствеников земельных участков и землепользователей на основании правоустанавливающих документов,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приемлемую схему пастбищеоборотов,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карту с обозначением внешних и внутренних границ и площадей пастбищ, в том числе сезонных, объектов пастбищной инфраструктуры,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схему доступа пастбищепользователей к водоистчникам (озерам, рекам, прудам, копаням, оросительным или обводительными каналам, трубчатым или шахтным колодцам), составленную согласно норме потребления воды,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схему перераспределения пастбищ для размещения поголовья сельскохозяйственных животных и (или) юридических лиц, у которых отсутствуют пастбища, и перемещения его на предоставляемые пастбища, </w:t>
      </w:r>
      <w:r>
        <w:rPr>
          <w:rFonts w:ascii="Times New Roman"/>
          <w:b w:val="false"/>
          <w:i w:val="false"/>
          <w:color w:val="000000"/>
          <w:sz w:val="28"/>
        </w:rPr>
        <w:t>согласно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схему размещения поголовья сельскохозяйственных животных на отгонных пастбищах физических и (или) не обеспеченных пастбищами, расположенными при селе, сельском округе,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приложеню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календарный график по использованию пастбищ, устанавливающий сезонные маршруты и передвижения сельскохозяйственных животных,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Плану;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План принят с учетом сведений о состоянии геоботанического обследования пастбищ, сведений о ветеринарно-санитарных обьектах, данных о численности поголовья сельскохозяйственных животных с указанием их владельцев-пастбищепользователей, физических и (или) юридических лиц, данных о количестве гуртов, отар, табунов, сформированных по видам и половозрастным группам сельскохозяйственных животных, сведений о формировании поголовья сельскохозяйственных животных для выпаса на отгонных пастбищах, особенностей выпаса сельскохозяйственных животных на культурных и аридных пастбищах.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Администиративно-территориальное деление района состоит из1 городского, 9 сельских округов,34 сельских населенных пунктов.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Общая площадь земель Каратальского района 2 422,222 тысячи гектаров, из них пастбищные земли 452,429 тысяч гектаров.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категориям земли подразделяются на: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сельскохозяйственного назначения – 486,613 тысяч гектаров;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населенных пунктов – 29,71 тысяч гектаров;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промышленности, транспорта, связи, для нужд космической деятельности, обороны, национальной безопасности и иного не сельскохозяйственного назначения – 2,3 тысячи гектаров;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лесного фонда – 765,397 тысяч гектаров;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водного фонда –1,153 тысячи гектаров;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земли запаса – 1014,903 тысяч гектаров.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Климат района континентальный. Годовое количество атмосферных осадков на равнинной территории 150-260 мм, в горных районах 350-550 мм. Средняя температура в январе -15-17°С, в июле +23+26°С.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равнине распространены серо-бурые полупустынные почвы, в предгорьях светло-каштановые и черноземные.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территории района протекает река Каратал. 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территории района насчитывается примерно 112 видов широко распространенных растений, из них относящихся к 27 семействам и 81 родам. Наибольшее распространение получили три семейства: злаковые, сложноцветные и маревые.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Средняя урожайность пастбищных угодий составляет 3,5 центнер/гектар.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Фонд кормов пастбищ используется в пастбищный период продолжительностью 180-210 дней.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Каратальском районе действуют 9 ветеринарных пунктов, 8 пунктов для искусственного осеменения и 6 скотомогильников.</w:t>
      </w:r>
    </w:p>
    <w:bookmarkEnd w:id="3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Плану по управлению пастбищами и их использованию по Каратальскому району на 2018-2019 годы</w:t>
            </w:r>
            <w:r>
              <w:br/>
            </w:r>
          </w:p>
        </w:tc>
      </w:tr>
    </w:tbl>
    <w:bookmarkStart w:name="z4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(карта) расположения пастбищ на территории администротивно-территориальной единицы в разрезе категорий земель, собственников земельных участков и землепользователей на основании правоустанавливающих документов</w:t>
      </w:r>
    </w:p>
    <w:bookmarkEnd w:id="32"/>
    <w:bookmarkStart w:name="z4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810500" cy="957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57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Плану по управлению пастбищами и их использованию по Каратальскому району на 2018-2019 годы</w:t>
            </w:r>
            <w:r>
              <w:br/>
            </w:r>
          </w:p>
        </w:tc>
      </w:tr>
    </w:tbl>
    <w:bookmarkStart w:name="z46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Приемлемая схема пастбищеоборотов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7810500" cy="977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77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Плану по управлению пастбищами и их использованию по Каратальскому району на 2018-2019 годы</w:t>
            </w:r>
            <w:r>
              <w:br/>
            </w:r>
          </w:p>
        </w:tc>
      </w:tr>
    </w:tbl>
    <w:bookmarkStart w:name="z49" w:id="3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Карта с обозначением внешних и внутренних границ и площадей пастбищ, в том числе объектов пастбищной инфраструктуры</w:t>
      </w:r>
    </w:p>
    <w:bookmarkEnd w:id="36"/>
    <w:bookmarkStart w:name="z5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7"/>
    <w:p>
      <w:pPr>
        <w:spacing w:after="0"/>
        <w:ind w:left="0"/>
        <w:jc w:val="both"/>
      </w:pPr>
      <w:r>
        <w:drawing>
          <wp:inline distT="0" distB="0" distL="0" distR="0">
            <wp:extent cx="7810500" cy="985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85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Плану по управлению пастбищами и их использованию по Каратальскому району на 2018-2019 годы</w:t>
            </w:r>
            <w:r>
              <w:br/>
            </w:r>
          </w:p>
        </w:tc>
      </w:tr>
    </w:tbl>
    <w:bookmarkStart w:name="z5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доступа пастбищепользователей к водоисточникам (озерам, рекам, прудам, копаниям, оросительным или обводнительным каналам, трубчатым или шахтным колодцам), составленную согласно норме потребления воды</w:t>
      </w:r>
    </w:p>
    <w:bookmarkEnd w:id="38"/>
    <w:bookmarkStart w:name="z5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9"/>
    <w:p>
      <w:pPr>
        <w:spacing w:after="0"/>
        <w:ind w:left="0"/>
        <w:jc w:val="both"/>
      </w:pPr>
      <w:r>
        <w:drawing>
          <wp:inline distT="0" distB="0" distL="0" distR="0">
            <wp:extent cx="7810500" cy="972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72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Плану по управлению пастбищами и их использованию по Каратальскому району на 2018-2019 годы</w:t>
            </w:r>
            <w:r>
              <w:br/>
            </w:r>
          </w:p>
        </w:tc>
      </w:tr>
    </w:tbl>
    <w:bookmarkStart w:name="z55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перераспределения пастбищ для размещения поголовья сельскохозяйственных животных физических и (или) юридических лиц, у которых отсутствуют пастбища, и перемещения его на предоставляемые пастбища</w:t>
      </w:r>
    </w:p>
    <w:bookmarkEnd w:id="40"/>
    <w:bookmarkStart w:name="z5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1"/>
    <w:p>
      <w:pPr>
        <w:spacing w:after="0"/>
        <w:ind w:left="0"/>
        <w:jc w:val="both"/>
      </w:pPr>
      <w:r>
        <w:drawing>
          <wp:inline distT="0" distB="0" distL="0" distR="0">
            <wp:extent cx="7810500" cy="9804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80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Плану по управлению пастбищами и их использованию по Каратальскому району на 2018-2019 годы</w:t>
            </w:r>
            <w:r>
              <w:br/>
            </w:r>
          </w:p>
        </w:tc>
      </w:tr>
    </w:tbl>
    <w:bookmarkStart w:name="z5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Схема размещения поголовья сельскохозяйственных животных на отгонных пастбищах физических и (или) юридических лиц, не обеспеченных пастбищами, расположенных при селе, сельском округе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3"/>
    <w:p>
      <w:pPr>
        <w:spacing w:after="0"/>
        <w:ind w:left="0"/>
        <w:jc w:val="both"/>
      </w:pPr>
      <w:r>
        <w:drawing>
          <wp:inline distT="0" distB="0" distL="0" distR="0">
            <wp:extent cx="7810500" cy="982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Плану по управлению пастбищами и их использованию по Каратальскому району на 2018-2019 годы</w:t>
            </w:r>
            <w:r>
              <w:br/>
            </w:r>
          </w:p>
        </w:tc>
      </w:tr>
    </w:tbl>
    <w:bookmarkStart w:name="z61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Календарный график по использованию пастбищ, устанавливающий сезонные маршруты выпаса и передвижения сельскохозяйственных животных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41"/>
        <w:gridCol w:w="2066"/>
        <w:gridCol w:w="2067"/>
        <w:gridCol w:w="2067"/>
        <w:gridCol w:w="2559"/>
      </w:tblGrid>
      <w:tr>
        <w:trPr>
          <w:trHeight w:val="30" w:hRule="atLeast"/>
        </w:trPr>
        <w:tc>
          <w:tcPr>
            <w:tcW w:w="354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2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Годы</w:t>
            </w:r>
          </w:p>
          <w:bookmarkEnd w:id="45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перегона скота на пастбища и возврата скота из пастбищ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Весна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Осень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Зима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</w:t>
            </w:r>
          </w:p>
          <w:bookmarkEnd w:id="46"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I-декада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II-декада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II-декада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II-декада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II-декада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IIІ-декада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III-декада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I-декада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</w:t>
            </w:r>
          </w:p>
        </w:tc>
      </w:tr>
      <w:tr>
        <w:trPr>
          <w:trHeight w:val="30" w:hRule="atLeast"/>
        </w:trPr>
        <w:tc>
          <w:tcPr>
            <w:tcW w:w="3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</w:t>
            </w:r>
          </w:p>
          <w:bookmarkEnd w:id="47"/>
        </w:tc>
        <w:tc>
          <w:tcPr>
            <w:tcW w:w="20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I-декада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II-декада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II-декада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II-декада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</w:t>
            </w:r>
          </w:p>
        </w:tc>
        <w:tc>
          <w:tcPr>
            <w:tcW w:w="2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II-декада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IIІ-декада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</w:t>
            </w:r>
          </w:p>
        </w:tc>
        <w:tc>
          <w:tcPr>
            <w:tcW w:w="25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III-декада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I-декада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марта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0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header.xml" Type="http://schemas.openxmlformats.org/officeDocument/2006/relationships/header" Id="rId10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