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0c1b" w14:textId="1530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Таразского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14 марта 2018 года № 29-8. Зарегистрировано Департаментом юстиции Жамбылской области 2 апреля 2018 года № 3767. Утратило силу решением Таразского городского маслихата Жамбылской области от 28 апреля 2023 года № 2-5</w:t>
      </w:r>
    </w:p>
    <w:p>
      <w:pPr>
        <w:spacing w:after="0"/>
        <w:ind w:left="0"/>
        <w:jc w:val="left"/>
      </w:pPr>
    </w:p>
    <w:p>
      <w:pPr>
        <w:spacing w:after="0"/>
        <w:ind w:left="0"/>
        <w:jc w:val="both"/>
      </w:pPr>
      <w:bookmarkStart w:name="z4" w:id="0"/>
      <w:r>
        <w:rPr>
          <w:rFonts w:ascii="Times New Roman"/>
          <w:b w:val="false"/>
          <w:i w:val="false"/>
          <w:color w:val="ff0000"/>
          <w:sz w:val="28"/>
        </w:rPr>
        <w:t xml:space="preserve">
      Сноска. Утратило силу решением Таразского городского маслихата Жамбылской области от 28.04.2023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6" w:id="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Таразский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Таразского городского маслихата.</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Таразского городского маслихата от 16 июня 2017 года </w:t>
      </w:r>
      <w:r>
        <w:rPr>
          <w:rFonts w:ascii="Times New Roman"/>
          <w:b w:val="false"/>
          <w:i w:val="false"/>
          <w:color w:val="000000"/>
          <w:sz w:val="28"/>
        </w:rPr>
        <w:t>№20-9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Таразского городского маслихата" (зарегистрировано в Реестре государственной регистрации нормативных правовых актов </w:t>
      </w:r>
      <w:r>
        <w:rPr>
          <w:rFonts w:ascii="Times New Roman"/>
          <w:b w:val="false"/>
          <w:i w:val="false"/>
          <w:color w:val="000000"/>
          <w:sz w:val="28"/>
        </w:rPr>
        <w:t>№3464</w:t>
      </w:r>
      <w:r>
        <w:rPr>
          <w:rFonts w:ascii="Times New Roman"/>
          <w:b w:val="false"/>
          <w:i w:val="false"/>
          <w:color w:val="000000"/>
          <w:sz w:val="28"/>
        </w:rPr>
        <w:t>, опубликовано в газете "Жамбыл-Тараз" от 5 июля 2017 года №27).</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Таразского городского маслихата Б.Серику.</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Таразского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Таразского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Мауленов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Таразского городского</w:t>
            </w:r>
            <w:r>
              <w:br/>
            </w:r>
            <w:r>
              <w:rPr>
                <w:rFonts w:ascii="Times New Roman"/>
                <w:b w:val="false"/>
                <w:i w:val="false"/>
                <w:color w:val="000000"/>
                <w:sz w:val="20"/>
              </w:rPr>
              <w:t>маслихата oт 14 марта 2018 года</w:t>
            </w:r>
            <w:r>
              <w:br/>
            </w:r>
            <w:r>
              <w:rPr>
                <w:rFonts w:ascii="Times New Roman"/>
                <w:b w:val="false"/>
                <w:i w:val="false"/>
                <w:color w:val="000000"/>
                <w:sz w:val="20"/>
              </w:rPr>
              <w:t>№29-8</w:t>
            </w:r>
          </w:p>
        </w:tc>
      </w:tr>
    </w:tbl>
    <w:bookmarkStart w:name="z15"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Таразского городского маслихата</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Настоящая Типовая методика оценки деятельности административных государственных служащих корпуса "Б" аппарата Таразского городского маслихата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№16299</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аппарта Таразского городского маслихата (далее – служащие корпуса "Б").</w:t>
      </w:r>
    </w:p>
    <w:bookmarkEnd w:id="8"/>
    <w:bookmarkStart w:name="z18" w:id="9"/>
    <w:p>
      <w:pPr>
        <w:spacing w:after="0"/>
        <w:ind w:left="0"/>
        <w:jc w:val="both"/>
      </w:pPr>
      <w:r>
        <w:rPr>
          <w:rFonts w:ascii="Times New Roman"/>
          <w:b w:val="false"/>
          <w:i w:val="false"/>
          <w:color w:val="000000"/>
          <w:sz w:val="28"/>
        </w:rPr>
        <w:t>
      2. Основные понятия, используемые в настоящей Методике:</w:t>
      </w:r>
    </w:p>
    <w:bookmarkEnd w:id="9"/>
    <w:bookmarkStart w:name="z19" w:id="10"/>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0"/>
    <w:bookmarkStart w:name="z20" w:id="11"/>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1"/>
    <w:bookmarkStart w:name="z21" w:id="12"/>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2"/>
    <w:bookmarkStart w:name="z22" w:id="13"/>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3"/>
    <w:bookmarkStart w:name="z23" w:id="14"/>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4"/>
    <w:bookmarkStart w:name="z24" w:id="15"/>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5"/>
    <w:bookmarkStart w:name="z25" w:id="16"/>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6"/>
    <w:bookmarkStart w:name="z26" w:id="17"/>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7"/>
    <w:bookmarkStart w:name="z27" w:id="18"/>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8"/>
    <w:bookmarkStart w:name="z28" w:id="19"/>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19"/>
    <w:bookmarkStart w:name="z29" w:id="20"/>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0"/>
    <w:bookmarkStart w:name="z30" w:id="21"/>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1"/>
    <w:bookmarkStart w:name="z31" w:id="22"/>
    <w:p>
      <w:pPr>
        <w:spacing w:after="0"/>
        <w:ind w:left="0"/>
        <w:jc w:val="both"/>
      </w:pPr>
      <w:r>
        <w:rPr>
          <w:rFonts w:ascii="Times New Roman"/>
          <w:b w:val="false"/>
          <w:i w:val="false"/>
          <w:color w:val="000000"/>
          <w:sz w:val="28"/>
        </w:rPr>
        <w:t>
      В состав комиссии разрешается вкючить депутатов соответствующего маслихата по согласованию.</w:t>
      </w:r>
    </w:p>
    <w:bookmarkEnd w:id="22"/>
    <w:bookmarkStart w:name="z32" w:id="23"/>
    <w:p>
      <w:pPr>
        <w:spacing w:after="0"/>
        <w:ind w:left="0"/>
        <w:jc w:val="both"/>
      </w:pPr>
      <w:r>
        <w:rPr>
          <w:rFonts w:ascii="Times New Roman"/>
          <w:b w:val="false"/>
          <w:i w:val="false"/>
          <w:color w:val="000000"/>
          <w:sz w:val="28"/>
        </w:rPr>
        <w:t>
      6. Оценка проводится по двум отдельным направлениям:</w:t>
      </w:r>
    </w:p>
    <w:bookmarkEnd w:id="23"/>
    <w:bookmarkStart w:name="z33" w:id="24"/>
    <w:p>
      <w:pPr>
        <w:spacing w:after="0"/>
        <w:ind w:left="0"/>
        <w:jc w:val="both"/>
      </w:pPr>
      <w:r>
        <w:rPr>
          <w:rFonts w:ascii="Times New Roman"/>
          <w:b w:val="false"/>
          <w:i w:val="false"/>
          <w:color w:val="000000"/>
          <w:sz w:val="28"/>
        </w:rPr>
        <w:t>
      1) оценки достижения КЦИ;</w:t>
      </w:r>
    </w:p>
    <w:bookmarkEnd w:id="24"/>
    <w:bookmarkStart w:name="z34" w:id="25"/>
    <w:p>
      <w:pPr>
        <w:spacing w:after="0"/>
        <w:ind w:left="0"/>
        <w:jc w:val="both"/>
      </w:pPr>
      <w:r>
        <w:rPr>
          <w:rFonts w:ascii="Times New Roman"/>
          <w:b w:val="false"/>
          <w:i w:val="false"/>
          <w:color w:val="000000"/>
          <w:sz w:val="28"/>
        </w:rPr>
        <w:t>
      2) оценки компетенций служащих корпуса "Б".</w:t>
      </w:r>
    </w:p>
    <w:bookmarkEnd w:id="25"/>
    <w:bookmarkStart w:name="z35" w:id="26"/>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6"/>
    <w:bookmarkStart w:name="z36" w:id="27"/>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27"/>
    <w:bookmarkStart w:name="z37" w:id="28"/>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8"/>
    <w:bookmarkStart w:name="z38" w:id="29"/>
    <w:p>
      <w:pPr>
        <w:spacing w:after="0"/>
        <w:ind w:left="0"/>
        <w:jc w:val="left"/>
      </w:pPr>
      <w:r>
        <w:rPr>
          <w:rFonts w:ascii="Times New Roman"/>
          <w:b/>
          <w:i w:val="false"/>
          <w:color w:val="000000"/>
        </w:rPr>
        <w:t xml:space="preserve"> Глава 2. Порядок определения КЦИ</w:t>
      </w:r>
    </w:p>
    <w:bookmarkEnd w:id="29"/>
    <w:bookmarkStart w:name="z39" w:id="30"/>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40" w:id="31"/>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1"/>
    <w:bookmarkStart w:name="z41" w:id="32"/>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32"/>
    <w:bookmarkStart w:name="z42" w:id="33"/>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33"/>
    <w:bookmarkStart w:name="z43" w:id="34"/>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4"/>
    <w:bookmarkStart w:name="z44" w:id="35"/>
    <w:p>
      <w:pPr>
        <w:spacing w:after="0"/>
        <w:ind w:left="0"/>
        <w:jc w:val="both"/>
      </w:pPr>
      <w:r>
        <w:rPr>
          <w:rFonts w:ascii="Times New Roman"/>
          <w:b w:val="false"/>
          <w:i w:val="false"/>
          <w:color w:val="000000"/>
          <w:sz w:val="28"/>
        </w:rPr>
        <w:t xml:space="preserve">
      13. КЦИ являются: </w:t>
      </w:r>
    </w:p>
    <w:bookmarkEnd w:id="35"/>
    <w:bookmarkStart w:name="z45" w:id="36"/>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6"/>
    <w:bookmarkStart w:name="z46" w:id="37"/>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7"/>
    <w:bookmarkStart w:name="z47" w:id="38"/>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8"/>
    <w:bookmarkStart w:name="z48" w:id="39"/>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9"/>
    <w:bookmarkStart w:name="z49" w:id="40"/>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40"/>
    <w:bookmarkStart w:name="z50" w:id="41"/>
    <w:p>
      <w:pPr>
        <w:spacing w:after="0"/>
        <w:ind w:left="0"/>
        <w:jc w:val="both"/>
      </w:pPr>
      <w:r>
        <w:rPr>
          <w:rFonts w:ascii="Times New Roman"/>
          <w:b w:val="false"/>
          <w:i w:val="false"/>
          <w:color w:val="000000"/>
          <w:sz w:val="28"/>
        </w:rPr>
        <w:t>
      14. Количество КЦИ составляет 5.</w:t>
      </w:r>
    </w:p>
    <w:bookmarkEnd w:id="41"/>
    <w:bookmarkStart w:name="z51" w:id="42"/>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42"/>
    <w:bookmarkStart w:name="z52" w:id="43"/>
    <w:p>
      <w:pPr>
        <w:spacing w:after="0"/>
        <w:ind w:left="0"/>
        <w:jc w:val="left"/>
      </w:pPr>
      <w:r>
        <w:rPr>
          <w:rFonts w:ascii="Times New Roman"/>
          <w:b/>
          <w:i w:val="false"/>
          <w:color w:val="000000"/>
        </w:rPr>
        <w:t xml:space="preserve"> Глава 3. Порядок оценки достижения КЦИ</w:t>
      </w:r>
    </w:p>
    <w:bookmarkEnd w:id="43"/>
    <w:bookmarkStart w:name="z53" w:id="44"/>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4"/>
    <w:bookmarkStart w:name="z54" w:id="45"/>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5"/>
    <w:bookmarkStart w:name="z55" w:id="46"/>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6"/>
    <w:bookmarkStart w:name="z56" w:id="47"/>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7"/>
    <w:bookmarkStart w:name="z57" w:id="48"/>
    <w:p>
      <w:pPr>
        <w:spacing w:after="0"/>
        <w:ind w:left="0"/>
        <w:jc w:val="both"/>
      </w:pPr>
      <w:r>
        <w:rPr>
          <w:rFonts w:ascii="Times New Roman"/>
          <w:b w:val="false"/>
          <w:i w:val="false"/>
          <w:color w:val="000000"/>
          <w:sz w:val="28"/>
        </w:rPr>
        <w:t>
      при достижении всех КЦИ ставится оценка "превосходно".</w:t>
      </w:r>
    </w:p>
    <w:bookmarkEnd w:id="48"/>
    <w:bookmarkStart w:name="z58" w:id="49"/>
    <w:p>
      <w:pPr>
        <w:spacing w:after="0"/>
        <w:ind w:left="0"/>
        <w:jc w:val="both"/>
      </w:pPr>
      <w:r>
        <w:rPr>
          <w:rFonts w:ascii="Times New Roman"/>
          <w:b w:val="false"/>
          <w:i w:val="false"/>
          <w:color w:val="000000"/>
          <w:sz w:val="28"/>
        </w:rPr>
        <w:t>
      при достижении 4 из 5 КЦИ ставится оценка "эффективно".</w:t>
      </w:r>
    </w:p>
    <w:bookmarkEnd w:id="49"/>
    <w:bookmarkStart w:name="z59" w:id="50"/>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0"/>
    <w:bookmarkStart w:name="z60" w:id="51"/>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1"/>
    <w:bookmarkStart w:name="z61" w:id="52"/>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2"/>
    <w:bookmarkStart w:name="z62" w:id="53"/>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3"/>
    <w:bookmarkStart w:name="z63" w:id="54"/>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4"/>
    <w:bookmarkStart w:name="z64" w:id="55"/>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5"/>
    <w:bookmarkStart w:name="z65" w:id="56"/>
    <w:p>
      <w:pPr>
        <w:spacing w:after="0"/>
        <w:ind w:left="0"/>
        <w:jc w:val="both"/>
      </w:pPr>
      <w:r>
        <w:rPr>
          <w:rFonts w:ascii="Times New Roman"/>
          <w:b w:val="false"/>
          <w:i w:val="false"/>
          <w:color w:val="000000"/>
          <w:sz w:val="28"/>
        </w:rPr>
        <w:t>
      1) согласиться с оценкой;</w:t>
      </w:r>
    </w:p>
    <w:bookmarkEnd w:id="56"/>
    <w:bookmarkStart w:name="z66" w:id="57"/>
    <w:p>
      <w:pPr>
        <w:spacing w:after="0"/>
        <w:ind w:left="0"/>
        <w:jc w:val="both"/>
      </w:pPr>
      <w:r>
        <w:rPr>
          <w:rFonts w:ascii="Times New Roman"/>
          <w:b w:val="false"/>
          <w:i w:val="false"/>
          <w:color w:val="000000"/>
          <w:sz w:val="28"/>
        </w:rPr>
        <w:t>
      2) направить на доработку.</w:t>
      </w:r>
    </w:p>
    <w:bookmarkEnd w:id="57"/>
    <w:bookmarkStart w:name="z67" w:id="58"/>
    <w:p>
      <w:pPr>
        <w:spacing w:after="0"/>
        <w:ind w:left="0"/>
        <w:jc w:val="both"/>
      </w:pPr>
      <w:r>
        <w:rPr>
          <w:rFonts w:ascii="Times New Roman"/>
          <w:b w:val="false"/>
          <w:i w:val="false"/>
          <w:color w:val="000000"/>
          <w:sz w:val="28"/>
        </w:rPr>
        <w:t xml:space="preserve">
      22. Оценочный лист направляется на доработку в случае недостаточности либо недостоверности подтверждающих достижения КЦИ фактов. </w:t>
      </w:r>
    </w:p>
    <w:bookmarkEnd w:id="58"/>
    <w:bookmarkStart w:name="z68" w:id="59"/>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9"/>
    <w:bookmarkStart w:name="z69" w:id="60"/>
    <w:p>
      <w:pPr>
        <w:spacing w:after="0"/>
        <w:ind w:left="0"/>
        <w:jc w:val="both"/>
      </w:pPr>
      <w:r>
        <w:rPr>
          <w:rFonts w:ascii="Times New Roman"/>
          <w:b w:val="false"/>
          <w:i w:val="false"/>
          <w:color w:val="000000"/>
          <w:sz w:val="28"/>
        </w:rPr>
        <w:t xml:space="preserve">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 </w:t>
      </w:r>
    </w:p>
    <w:bookmarkEnd w:id="60"/>
    <w:bookmarkStart w:name="z70" w:id="61"/>
    <w:p>
      <w:pPr>
        <w:spacing w:after="0"/>
        <w:ind w:left="0"/>
        <w:jc w:val="left"/>
      </w:pPr>
      <w:r>
        <w:rPr>
          <w:rFonts w:ascii="Times New Roman"/>
          <w:b/>
          <w:i w:val="false"/>
          <w:color w:val="000000"/>
        </w:rPr>
        <w:t xml:space="preserve"> Глава 4. Порядок оценки компетенций</w:t>
      </w:r>
    </w:p>
    <w:bookmarkEnd w:id="61"/>
    <w:bookmarkStart w:name="z71" w:id="62"/>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2"/>
    <w:bookmarkStart w:name="z72" w:id="63"/>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 </w:t>
      </w:r>
    </w:p>
    <w:bookmarkEnd w:id="63"/>
    <w:bookmarkStart w:name="z73" w:id="64"/>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4"/>
    <w:bookmarkStart w:name="z74" w:id="65"/>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5"/>
    <w:bookmarkStart w:name="z75" w:id="66"/>
    <w:p>
      <w:pPr>
        <w:spacing w:after="0"/>
        <w:ind w:left="0"/>
        <w:jc w:val="both"/>
      </w:pPr>
      <w:r>
        <w:rPr>
          <w:rFonts w:ascii="Times New Roman"/>
          <w:b w:val="false"/>
          <w:i w:val="false"/>
          <w:color w:val="000000"/>
          <w:sz w:val="28"/>
        </w:rPr>
        <w:t xml:space="preserve">
      2) при несоответствии деятельности служащего менее 3/4 поведенческим </w:t>
      </w:r>
    </w:p>
    <w:bookmarkEnd w:id="66"/>
    <w:bookmarkStart w:name="z76" w:id="67"/>
    <w:p>
      <w:pPr>
        <w:spacing w:after="0"/>
        <w:ind w:left="0"/>
        <w:jc w:val="both"/>
      </w:pPr>
      <w:r>
        <w:rPr>
          <w:rFonts w:ascii="Times New Roman"/>
          <w:b w:val="false"/>
          <w:i w:val="false"/>
          <w:color w:val="000000"/>
          <w:sz w:val="28"/>
        </w:rPr>
        <w:t>
      индикаторам, предусмотренным для конкретной компетенции, ставится оценка "не соответствует ожиданиям" по данной конкретной компетенции.</w:t>
      </w:r>
    </w:p>
    <w:bookmarkEnd w:id="67"/>
    <w:bookmarkStart w:name="z77" w:id="68"/>
    <w:p>
      <w:pPr>
        <w:spacing w:after="0"/>
        <w:ind w:left="0"/>
        <w:jc w:val="both"/>
      </w:pPr>
      <w:r>
        <w:rPr>
          <w:rFonts w:ascii="Times New Roman"/>
          <w:b w:val="false"/>
          <w:i w:val="false"/>
          <w:color w:val="000000"/>
          <w:sz w:val="28"/>
        </w:rPr>
        <w:t xml:space="preserve">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 </w:t>
      </w:r>
    </w:p>
    <w:bookmarkEnd w:id="68"/>
    <w:bookmarkStart w:name="z78" w:id="69"/>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9"/>
    <w:bookmarkStart w:name="z79" w:id="70"/>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0"/>
    <w:bookmarkStart w:name="z80" w:id="71"/>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1"/>
    <w:bookmarkStart w:name="z81" w:id="72"/>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2"/>
    <w:bookmarkStart w:name="z82" w:id="73"/>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3"/>
    <w:bookmarkStart w:name="z83" w:id="74"/>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4"/>
    <w:bookmarkStart w:name="z84" w:id="75"/>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5"/>
    <w:bookmarkStart w:name="z85" w:id="76"/>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6"/>
    <w:bookmarkStart w:name="z86" w:id="77"/>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7"/>
    <w:bookmarkStart w:name="z87" w:id="78"/>
    <w:p>
      <w:pPr>
        <w:spacing w:after="0"/>
        <w:ind w:left="0"/>
        <w:jc w:val="both"/>
      </w:pPr>
      <w:r>
        <w:rPr>
          <w:rFonts w:ascii="Times New Roman"/>
          <w:b w:val="false"/>
          <w:i w:val="false"/>
          <w:color w:val="000000"/>
          <w:sz w:val="28"/>
        </w:rPr>
        <w:t>
      1) заполненные оценочные листы;</w:t>
      </w:r>
    </w:p>
    <w:bookmarkEnd w:id="78"/>
    <w:bookmarkStart w:name="z88" w:id="79"/>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5 к настоящей Методике.</w:t>
      </w:r>
    </w:p>
    <w:bookmarkEnd w:id="79"/>
    <w:bookmarkStart w:name="z89" w:id="80"/>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80"/>
    <w:bookmarkStart w:name="z90" w:id="81"/>
    <w:p>
      <w:pPr>
        <w:spacing w:after="0"/>
        <w:ind w:left="0"/>
        <w:jc w:val="both"/>
      </w:pPr>
      <w:r>
        <w:rPr>
          <w:rFonts w:ascii="Times New Roman"/>
          <w:b w:val="false"/>
          <w:i w:val="false"/>
          <w:color w:val="000000"/>
          <w:sz w:val="28"/>
        </w:rPr>
        <w:t>
      1) утвердить результаты оценки;</w:t>
      </w:r>
    </w:p>
    <w:bookmarkEnd w:id="81"/>
    <w:bookmarkStart w:name="z91" w:id="82"/>
    <w:p>
      <w:pPr>
        <w:spacing w:after="0"/>
        <w:ind w:left="0"/>
        <w:jc w:val="both"/>
      </w:pPr>
      <w:r>
        <w:rPr>
          <w:rFonts w:ascii="Times New Roman"/>
          <w:b w:val="false"/>
          <w:i w:val="false"/>
          <w:color w:val="000000"/>
          <w:sz w:val="28"/>
        </w:rPr>
        <w:t>
      2) пересмотреть результаты оценки.</w:t>
      </w:r>
    </w:p>
    <w:bookmarkEnd w:id="82"/>
    <w:bookmarkStart w:name="z92" w:id="83"/>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3"/>
    <w:bookmarkStart w:name="z93" w:id="84"/>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4"/>
    <w:bookmarkStart w:name="z94" w:id="85"/>
    <w:p>
      <w:pPr>
        <w:spacing w:after="0"/>
        <w:ind w:left="0"/>
        <w:jc w:val="both"/>
      </w:pPr>
      <w:r>
        <w:rPr>
          <w:rFonts w:ascii="Times New Roman"/>
          <w:b w:val="false"/>
          <w:i w:val="false"/>
          <w:color w:val="000000"/>
          <w:sz w:val="28"/>
        </w:rPr>
        <w:t xml:space="preserve">
      40. Служба управления персоналом ознакамливает служащего корпуса </w:t>
      </w:r>
    </w:p>
    <w:bookmarkEnd w:id="85"/>
    <w:bookmarkStart w:name="z95" w:id="86"/>
    <w:p>
      <w:pPr>
        <w:spacing w:after="0"/>
        <w:ind w:left="0"/>
        <w:jc w:val="both"/>
      </w:pPr>
      <w:r>
        <w:rPr>
          <w:rFonts w:ascii="Times New Roman"/>
          <w:b w:val="false"/>
          <w:i w:val="false"/>
          <w:color w:val="000000"/>
          <w:sz w:val="28"/>
        </w:rPr>
        <w:t>
      "Б" с результатами оценки в течение двух рабочих дней со дня ее завершения.</w:t>
      </w:r>
    </w:p>
    <w:bookmarkEnd w:id="86"/>
    <w:bookmarkStart w:name="z96" w:id="87"/>
    <w:p>
      <w:pPr>
        <w:spacing w:after="0"/>
        <w:ind w:left="0"/>
        <w:jc w:val="both"/>
      </w:pPr>
      <w:r>
        <w:rPr>
          <w:rFonts w:ascii="Times New Roman"/>
          <w:b w:val="false"/>
          <w:i w:val="false"/>
          <w:color w:val="000000"/>
          <w:sz w:val="28"/>
        </w:rPr>
        <w:t xml:space="preserve">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 </w:t>
      </w:r>
    </w:p>
    <w:bookmarkEnd w:id="87"/>
    <w:bookmarkStart w:name="z97" w:id="88"/>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интранет - портала государственных органов.</w:t>
      </w:r>
    </w:p>
    <w:bookmarkEnd w:id="88"/>
    <w:bookmarkStart w:name="z98" w:id="89"/>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9"/>
    <w:bookmarkStart w:name="z99" w:id="90"/>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0"/>
    <w:bookmarkStart w:name="z100" w:id="91"/>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1"/>
    <w:bookmarkStart w:name="z101" w:id="92"/>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 xml:space="preserve">административных государственных </w:t>
            </w:r>
            <w:r>
              <w:br/>
            </w:r>
            <w:r>
              <w:rPr>
                <w:rFonts w:ascii="Times New Roman"/>
                <w:b w:val="false"/>
                <w:i w:val="false"/>
                <w:color w:val="000000"/>
                <w:sz w:val="20"/>
              </w:rPr>
              <w:t xml:space="preserve">служащих корпуса "Б" аппарта </w:t>
            </w:r>
            <w:r>
              <w:br/>
            </w: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 Вышестоящий руководитель</w:t>
            </w:r>
            <w:r>
              <w:br/>
            </w:r>
            <w:r>
              <w:rPr>
                <w:rFonts w:ascii="Times New Roman"/>
                <w:b w:val="false"/>
                <w:i w:val="false"/>
                <w:color w:val="000000"/>
                <w:sz w:val="20"/>
              </w:rPr>
              <w:t xml:space="preserve"> 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 xml:space="preserve"> дата _______________________</w:t>
            </w:r>
            <w:r>
              <w:br/>
            </w:r>
            <w:r>
              <w:rPr>
                <w:rFonts w:ascii="Times New Roman"/>
                <w:b w:val="false"/>
                <w:i w:val="false"/>
                <w:color w:val="000000"/>
                <w:sz w:val="20"/>
              </w:rPr>
              <w:t xml:space="preserve"> подпись ____________________</w:t>
            </w:r>
          </w:p>
        </w:tc>
      </w:tr>
    </w:tbl>
    <w:bookmarkStart w:name="z105" w:id="93"/>
    <w:p>
      <w:pPr>
        <w:spacing w:after="0"/>
        <w:ind w:left="0"/>
        <w:jc w:val="left"/>
      </w:pPr>
      <w:r>
        <w:rPr>
          <w:rFonts w:ascii="Times New Roman"/>
          <w:b/>
          <w:i w:val="false"/>
          <w:color w:val="000000"/>
        </w:rPr>
        <w:t xml:space="preserve">  Индивидуальный план работы</w:t>
      </w:r>
      <w:r>
        <w:br/>
      </w:r>
      <w:r>
        <w:rPr>
          <w:rFonts w:ascii="Times New Roman"/>
          <w:b/>
          <w:i w:val="false"/>
          <w:color w:val="000000"/>
        </w:rPr>
        <w:t xml:space="preserve"> административного государственного служащего корпуса "Б"</w:t>
      </w:r>
      <w:r>
        <w:br/>
      </w:r>
      <w:r>
        <w:rPr>
          <w:rFonts w:ascii="Times New Roman"/>
          <w:b/>
          <w:i w:val="false"/>
          <w:color w:val="000000"/>
        </w:rPr>
        <w:t xml:space="preserve">_________________________________________________год </w:t>
      </w:r>
    </w:p>
    <w:bookmarkEnd w:id="93"/>
    <w:p>
      <w:pPr>
        <w:spacing w:after="0"/>
        <w:ind w:left="0"/>
        <w:jc w:val="both"/>
      </w:pPr>
      <w:bookmarkStart w:name="z106" w:id="94"/>
      <w:r>
        <w:rPr>
          <w:rFonts w:ascii="Times New Roman"/>
          <w:b w:val="false"/>
          <w:i w:val="false"/>
          <w:color w:val="000000"/>
          <w:sz w:val="28"/>
        </w:rPr>
        <w:t>
      (период, на который составляется индивидуальный план)</w:t>
      </w:r>
    </w:p>
    <w:bookmarkEnd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ожидаемое положительное изменение от достижения ключевого целевого индикатора.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xml:space="preserve">
Служащий </w:t>
            </w:r>
          </w:p>
          <w:bookmarkEnd w:id="96"/>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 xml:space="preserve">служащих корпуса "Б" аппарта </w:t>
            </w:r>
            <w:r>
              <w:br/>
            </w: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 Вышестоящий руководитель</w:t>
            </w:r>
            <w:r>
              <w:br/>
            </w:r>
            <w:r>
              <w:rPr>
                <w:rFonts w:ascii="Times New Roman"/>
                <w:b w:val="false"/>
                <w:i w:val="false"/>
                <w:color w:val="000000"/>
                <w:sz w:val="20"/>
              </w:rPr>
              <w:t xml:space="preserve"> 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 xml:space="preserve"> дата ______________________</w:t>
            </w:r>
            <w:r>
              <w:br/>
            </w:r>
            <w:r>
              <w:rPr>
                <w:rFonts w:ascii="Times New Roman"/>
                <w:b w:val="false"/>
                <w:i w:val="false"/>
                <w:color w:val="000000"/>
                <w:sz w:val="20"/>
              </w:rPr>
              <w:t xml:space="preserve"> подпись ___________________</w:t>
            </w:r>
          </w:p>
        </w:tc>
      </w:tr>
    </w:tbl>
    <w:bookmarkStart w:name="z117" w:id="97"/>
    <w:p>
      <w:pPr>
        <w:spacing w:after="0"/>
        <w:ind w:left="0"/>
        <w:jc w:val="left"/>
      </w:pPr>
      <w:r>
        <w:rPr>
          <w:rFonts w:ascii="Times New Roman"/>
          <w:b/>
          <w:i w:val="false"/>
          <w:color w:val="000000"/>
        </w:rPr>
        <w:t xml:space="preserve"> Лист оценки по КЦИ</w:t>
      </w:r>
      <w:r>
        <w:br/>
      </w:r>
      <w:r>
        <w:rPr>
          <w:rFonts w:ascii="Times New Roman"/>
          <w:b/>
          <w:i w:val="false"/>
          <w:color w:val="000000"/>
        </w:rPr>
        <w:t>____________________________________________________</w:t>
      </w:r>
    </w:p>
    <w:bookmarkEnd w:id="97"/>
    <w:bookmarkStart w:name="z118" w:id="98"/>
    <w:p>
      <w:pPr>
        <w:spacing w:after="0"/>
        <w:ind w:left="0"/>
        <w:jc w:val="both"/>
      </w:pPr>
      <w:r>
        <w:rPr>
          <w:rFonts w:ascii="Times New Roman"/>
          <w:b w:val="false"/>
          <w:i w:val="false"/>
          <w:color w:val="000000"/>
          <w:sz w:val="28"/>
        </w:rPr>
        <w:t>
      (Ф.И.О., должность оцениваемого лица)</w:t>
      </w:r>
      <w:r>
        <w:br/>
      </w:r>
      <w:r>
        <w:rPr>
          <w:rFonts w:ascii="Times New Roman"/>
          <w:b w:val="false"/>
          <w:i w:val="false"/>
          <w:color w:val="000000"/>
          <w:sz w:val="28"/>
        </w:rPr>
        <w:t>____________________________________</w:t>
      </w:r>
      <w:r>
        <w:br/>
      </w:r>
      <w:r>
        <w:rPr>
          <w:rFonts w:ascii="Times New Roman"/>
          <w:b w:val="false"/>
          <w:i w:val="false"/>
          <w:color w:val="000000"/>
          <w:sz w:val="28"/>
        </w:rPr>
        <w:t>(оцениваемый период)</w:t>
      </w:r>
      <w:r>
        <w:br/>
      </w: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p>
          <w:p>
            <w:pPr>
              <w:spacing w:after="20"/>
              <w:ind w:left="20"/>
              <w:jc w:val="both"/>
            </w:pPr>
            <w:r>
              <w:rPr>
                <w:rFonts w:ascii="Times New Roman"/>
                <w:b w:val="false"/>
                <w:i w:val="false"/>
                <w:color w:val="000000"/>
                <w:sz w:val="20"/>
              </w:rPr>
              <w:t>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0"/>
      <w:r>
        <w:rPr>
          <w:rFonts w:ascii="Times New Roman"/>
          <w:b w:val="false"/>
          <w:i w:val="false"/>
          <w:color w:val="000000"/>
          <w:sz w:val="28"/>
        </w:rPr>
        <w:t xml:space="preserve">
      </w:t>
      </w:r>
      <w:r>
        <w:rPr>
          <w:rFonts w:ascii="Times New Roman"/>
          <w:b/>
          <w:i w:val="false"/>
          <w:color w:val="000000"/>
          <w:sz w:val="28"/>
        </w:rPr>
        <w:t>Результат оценки</w:t>
      </w:r>
      <w:r>
        <w:rPr>
          <w:rFonts w:ascii="Times New Roman"/>
          <w:b w:val="false"/>
          <w:i w:val="false"/>
          <w:color w:val="000000"/>
          <w:sz w:val="28"/>
        </w:rPr>
        <w:t xml:space="preserve"> ___________________________________________________</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(неудовлетворительно, удовлетворительно, эффективно, превосходно)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2" w:id="101"/>
          <w:p>
            <w:pPr>
              <w:spacing w:after="20"/>
              <w:ind w:left="20"/>
              <w:jc w:val="both"/>
            </w:pPr>
            <w:r>
              <w:rPr>
                <w:rFonts w:ascii="Times New Roman"/>
                <w:b w:val="false"/>
                <w:i w:val="false"/>
                <w:color w:val="000000"/>
                <w:sz w:val="20"/>
              </w:rPr>
              <w:t xml:space="preserve">
Служащий </w:t>
            </w:r>
          </w:p>
          <w:bookmarkEnd w:id="101"/>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 xml:space="preserve">административных государственных </w:t>
            </w:r>
            <w:r>
              <w:br/>
            </w:r>
            <w:r>
              <w:rPr>
                <w:rFonts w:ascii="Times New Roman"/>
                <w:b w:val="false"/>
                <w:i w:val="false"/>
                <w:color w:val="000000"/>
                <w:sz w:val="20"/>
              </w:rPr>
              <w:t xml:space="preserve">служащих корпуса "Б" аппарта </w:t>
            </w:r>
            <w:r>
              <w:br/>
            </w: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02"/>
    <w:p>
      <w:pPr>
        <w:spacing w:after="0"/>
        <w:ind w:left="0"/>
        <w:jc w:val="left"/>
      </w:pPr>
      <w:r>
        <w:rPr>
          <w:rFonts w:ascii="Times New Roman"/>
          <w:b/>
          <w:i w:val="false"/>
          <w:color w:val="000000"/>
        </w:rPr>
        <w:t xml:space="preserve"> Лист оценки по компетенциям</w:t>
      </w:r>
    </w:p>
    <w:bookmarkEnd w:id="102"/>
    <w:bookmarkStart w:name="z126" w:id="103"/>
    <w:p>
      <w:pPr>
        <w:spacing w:after="0"/>
        <w:ind w:left="0"/>
        <w:jc w:val="both"/>
      </w:pPr>
      <w:r>
        <w:rPr>
          <w:rFonts w:ascii="Times New Roman"/>
          <w:b w:val="false"/>
          <w:i w:val="false"/>
          <w:color w:val="000000"/>
          <w:sz w:val="28"/>
        </w:rPr>
        <w:t>
      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w:t>
      </w:r>
    </w:p>
    <w:bookmarkEnd w:id="103"/>
    <w:p>
      <w:pPr>
        <w:spacing w:after="0"/>
        <w:ind w:left="0"/>
        <w:jc w:val="both"/>
      </w:pPr>
      <w:bookmarkStart w:name="z128" w:id="104"/>
      <w:r>
        <w:rPr>
          <w:rFonts w:ascii="Times New Roman"/>
          <w:b w:val="false"/>
          <w:i w:val="false"/>
          <w:color w:val="000000"/>
          <w:sz w:val="28"/>
        </w:rPr>
        <w:t>
      Фамилия, имя, отчество (при его наличии) оцениваемого служащего:________</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w:t>
      </w:r>
    </w:p>
    <w:p>
      <w:pPr>
        <w:spacing w:after="0"/>
        <w:ind w:left="0"/>
        <w:jc w:val="both"/>
      </w:pPr>
      <w:r>
        <w:rPr>
          <w:rFonts w:ascii="Times New Roman"/>
          <w:b w:val="false"/>
          <w:i w:val="false"/>
          <w:color w:val="000000"/>
          <w:sz w:val="28"/>
        </w:rPr>
        <w:t>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 п/п</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xml:space="preserve">
Служащий </w:t>
            </w:r>
          </w:p>
          <w:bookmarkEnd w:id="117"/>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 xml:space="preserve">административных государственных </w:t>
            </w:r>
            <w:r>
              <w:br/>
            </w:r>
            <w:r>
              <w:rPr>
                <w:rFonts w:ascii="Times New Roman"/>
                <w:b w:val="false"/>
                <w:i w:val="false"/>
                <w:color w:val="000000"/>
                <w:sz w:val="20"/>
              </w:rPr>
              <w:t xml:space="preserve">служащих корпуса "Б" аппарта </w:t>
            </w:r>
            <w:r>
              <w:br/>
            </w: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8"/>
    <w:p>
      <w:pPr>
        <w:spacing w:after="0"/>
        <w:ind w:left="0"/>
        <w:jc w:val="left"/>
      </w:pPr>
      <w:r>
        <w:rPr>
          <w:rFonts w:ascii="Times New Roman"/>
          <w:b/>
          <w:i w:val="false"/>
          <w:color w:val="000000"/>
        </w:rPr>
        <w:t xml:space="preserve"> Поведенческие индикаторы компетенций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9"/>
          <w:p>
            <w:pPr>
              <w:spacing w:after="20"/>
              <w:ind w:left="20"/>
              <w:jc w:val="both"/>
            </w:pPr>
            <w:r>
              <w:rPr>
                <w:rFonts w:ascii="Times New Roman"/>
                <w:b w:val="false"/>
                <w:i w:val="false"/>
                <w:color w:val="000000"/>
                <w:sz w:val="20"/>
              </w:rPr>
              <w:t>
Наименование компетенций</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0"/>
          <w:p>
            <w:pPr>
              <w:spacing w:after="20"/>
              <w:ind w:left="20"/>
              <w:jc w:val="both"/>
            </w:pPr>
            <w:r>
              <w:rPr>
                <w:rFonts w:ascii="Times New Roman"/>
                <w:b w:val="false"/>
                <w:i w:val="false"/>
                <w:color w:val="000000"/>
                <w:sz w:val="20"/>
              </w:rPr>
              <w:t>
УПРАВЛЕНИЕ ДЕЯТЕЛЬНОСТЬЮ</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СОТРУДНИЧЕСТВО</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ПРИНЯТИЕ РЕШЕНИЙ</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ОРИЕНТАЦИЯ НА ПОТРЕБИТЕЛЯ УСЛУГ</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p>
            <w:pPr>
              <w:spacing w:after="20"/>
              <w:ind w:left="20"/>
              <w:jc w:val="both"/>
            </w:pP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ИНФОРМИРОВАНИЕ ПОТРЕБИТЕЛЯ УСЛУГ</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ОПЕРАТИВНОСТЬ</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Изучает новые подходы и способы их внедрения;</w:t>
            </w:r>
          </w:p>
          <w:p>
            <w:pPr>
              <w:spacing w:after="20"/>
              <w:ind w:left="20"/>
              <w:jc w:val="both"/>
            </w:pPr>
            <w:r>
              <w:rPr>
                <w:rFonts w:ascii="Times New Roman"/>
                <w:b w:val="false"/>
                <w:i w:val="false"/>
                <w:color w:val="000000"/>
                <w:sz w:val="20"/>
              </w:rPr>
              <w:t>
Сохраняет самоконтроль в изменившихся условиях;</w:t>
            </w:r>
          </w:p>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Не изучает новые подходы и способы их внедрения</w:t>
            </w:r>
          </w:p>
          <w:p>
            <w:pPr>
              <w:spacing w:after="20"/>
              <w:ind w:left="20"/>
              <w:jc w:val="both"/>
            </w:pPr>
            <w:r>
              <w:rPr>
                <w:rFonts w:ascii="Times New Roman"/>
                <w:b w:val="false"/>
                <w:i w:val="false"/>
                <w:color w:val="000000"/>
                <w:sz w:val="20"/>
              </w:rPr>
              <w:t>
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САМОРАЗВИТИЕ</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p>
            <w:pPr>
              <w:spacing w:after="20"/>
              <w:ind w:left="20"/>
              <w:jc w:val="both"/>
            </w:pP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ДОБРОПОРЯДОЧНОСТЬ</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СТРЕССОУСТОЙЧИВОСТЬ</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ОТВЕТСТВЕННОСТЬ</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ИНИЦИАТИВНОСТЬ</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(руководитель структурного подразделения);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методике оценки деятельности </w:t>
            </w:r>
            <w:r>
              <w:br/>
            </w:r>
            <w:r>
              <w:rPr>
                <w:rFonts w:ascii="Times New Roman"/>
                <w:b w:val="false"/>
                <w:i w:val="false"/>
                <w:color w:val="000000"/>
                <w:sz w:val="20"/>
              </w:rPr>
              <w:t xml:space="preserve">административных государственных </w:t>
            </w:r>
            <w:r>
              <w:br/>
            </w:r>
            <w:r>
              <w:rPr>
                <w:rFonts w:ascii="Times New Roman"/>
                <w:b w:val="false"/>
                <w:i w:val="false"/>
                <w:color w:val="000000"/>
                <w:sz w:val="20"/>
              </w:rPr>
              <w:t xml:space="preserve">служащих корпуса "Б" аппарта </w:t>
            </w:r>
            <w:r>
              <w:br/>
            </w:r>
            <w:r>
              <w:rPr>
                <w:rFonts w:ascii="Times New Roman"/>
                <w:b w:val="false"/>
                <w:i w:val="false"/>
                <w:color w:val="000000"/>
                <w:sz w:val="20"/>
              </w:rPr>
              <w:t>Таразского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 Уполномоченное лицо</w:t>
            </w:r>
            <w:r>
              <w:br/>
            </w:r>
            <w:r>
              <w:rPr>
                <w:rFonts w:ascii="Times New Roman"/>
                <w:b w:val="false"/>
                <w:i w:val="false"/>
                <w:color w:val="000000"/>
                <w:sz w:val="20"/>
              </w:rPr>
              <w:t xml:space="preserve"> 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 xml:space="preserve"> дата ______________________</w:t>
            </w:r>
            <w:r>
              <w:br/>
            </w:r>
            <w:r>
              <w:rPr>
                <w:rFonts w:ascii="Times New Roman"/>
                <w:b w:val="false"/>
                <w:i w:val="false"/>
                <w:color w:val="000000"/>
                <w:sz w:val="20"/>
              </w:rPr>
              <w:t xml:space="preserve"> подпись ___________________</w:t>
            </w:r>
          </w:p>
        </w:tc>
      </w:tr>
    </w:tbl>
    <w:bookmarkStart w:name="z173" w:id="131"/>
    <w:p>
      <w:pPr>
        <w:spacing w:after="0"/>
        <w:ind w:left="0"/>
        <w:jc w:val="left"/>
      </w:pPr>
      <w:r>
        <w:rPr>
          <w:rFonts w:ascii="Times New Roman"/>
          <w:b/>
          <w:i w:val="false"/>
          <w:color w:val="000000"/>
        </w:rPr>
        <w:t xml:space="preserve"> Протокол заседания Комиссии по оценке</w:t>
      </w:r>
    </w:p>
    <w:bookmarkEnd w:id="131"/>
    <w:bookmarkStart w:name="z174" w:id="13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(оцениваемый период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 п/п</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1.</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2.</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37"/>
      <w:r>
        <w:rPr>
          <w:rFonts w:ascii="Times New Roman"/>
          <w:b w:val="false"/>
          <w:i w:val="false"/>
          <w:color w:val="000000"/>
          <w:sz w:val="28"/>
        </w:rPr>
        <w:t xml:space="preserve">
      Заключение Комиссии: </w:t>
      </w:r>
    </w:p>
    <w:bookmarkEnd w:id="13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Секретарь Комиссии: ________________________ Дата: 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Председатель Комиссии: _____________________ Дата: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Член Комиссии: ____________________________ Дата: ____________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