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0e031" w14:textId="bb0e0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сельских округов Таласского района</w:t>
      </w:r>
    </w:p>
    <w:p>
      <w:pPr>
        <w:spacing w:after="0"/>
        <w:ind w:left="0"/>
        <w:jc w:val="both"/>
      </w:pPr>
      <w:r>
        <w:rPr>
          <w:rFonts w:ascii="Times New Roman"/>
          <w:b w:val="false"/>
          <w:i w:val="false"/>
          <w:color w:val="000000"/>
          <w:sz w:val="28"/>
        </w:rPr>
        <w:t>Решение Таласского районного маслихата Жамбылской области от 23 ноября 2018 года № 43-6. Зарегистрировано Департаментом юстиции Жамбылской области 28 ноября 2018 года № 3991</w:t>
      </w:r>
    </w:p>
    <w:p>
      <w:pPr>
        <w:spacing w:after="0"/>
        <w:ind w:left="0"/>
        <w:jc w:val="both"/>
      </w:pPr>
      <w:bookmarkStart w:name="z5" w:id="0"/>
      <w:r>
        <w:rPr>
          <w:rFonts w:ascii="Times New Roman"/>
          <w:b w:val="false"/>
          <w:i w:val="false"/>
          <w:color w:val="ff0000"/>
          <w:sz w:val="28"/>
        </w:rPr>
        <w:t>
       Примечание РЦПИ.</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В тексте документа сохранена пунктуация и орфография оригинала.</w:t>
      </w:r>
    </w:p>
    <w:bookmarkStart w:name="z7" w:id="1"/>
    <w:p>
      <w:pPr>
        <w:spacing w:after="0"/>
        <w:ind w:left="0"/>
        <w:jc w:val="both"/>
      </w:pPr>
      <w:r>
        <w:rPr>
          <w:rFonts w:ascii="Times New Roman"/>
          <w:b w:val="false"/>
          <w:i w:val="false"/>
          <w:color w:val="000000"/>
          <w:sz w:val="28"/>
        </w:rPr>
        <w:t xml:space="preserve">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(зарегистрировано в Реестре государственной регистрации нормативных правовых актов </w:t>
      </w:r>
      <w:r>
        <w:rPr>
          <w:rFonts w:ascii="Times New Roman"/>
          <w:b w:val="false"/>
          <w:i w:val="false"/>
          <w:color w:val="000000"/>
          <w:sz w:val="28"/>
        </w:rPr>
        <w:t>№ 15630</w:t>
      </w:r>
      <w:r>
        <w:rPr>
          <w:rFonts w:ascii="Times New Roman"/>
          <w:b w:val="false"/>
          <w:i w:val="false"/>
          <w:color w:val="000000"/>
          <w:sz w:val="28"/>
        </w:rPr>
        <w:t xml:space="preserve">), Таласский районный маслихат </w:t>
      </w:r>
      <w:r>
        <w:rPr>
          <w:rFonts w:ascii="Times New Roman"/>
          <w:b/>
          <w:i w:val="false"/>
          <w:color w:val="000000"/>
          <w:sz w:val="28"/>
        </w:rPr>
        <w:t>РЕШИЛ:</w:t>
      </w:r>
    </w:p>
    <w:bookmarkEnd w:id="1"/>
    <w:bookmarkStart w:name="z8" w:id="2"/>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сельских округов Таласского района.</w:t>
      </w:r>
    </w:p>
    <w:bookmarkEnd w:id="2"/>
    <w:bookmarkStart w:name="z9" w:id="3"/>
    <w:p>
      <w:pPr>
        <w:spacing w:after="0"/>
        <w:ind w:left="0"/>
        <w:jc w:val="both"/>
      </w:pPr>
      <w:r>
        <w:rPr>
          <w:rFonts w:ascii="Times New Roman"/>
          <w:b w:val="false"/>
          <w:i w:val="false"/>
          <w:color w:val="000000"/>
          <w:sz w:val="28"/>
        </w:rPr>
        <w:t>
      2. Контроль за исполнением данного решения и публикацию его в интернет – ресурсах районного маслихата возложить на постоянную комиссию районного маслихата шестого созыва по вопросам социально-экономического развития района, по бюджету, местным налогам и вопросам городского хозяйства.</w:t>
      </w:r>
    </w:p>
    <w:bookmarkEnd w:id="3"/>
    <w:bookmarkStart w:name="z10" w:id="4"/>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для города районного значения, сельского округа с численностью населения более двух тысяч человек со дня официального опубликования, для сельских округов и сел с численностью населения две тысячи и менее человек с 1 января 2020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 маслихата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 Сейдалиев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А.Тулебаев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решением </w:t>
            </w:r>
            <w:r>
              <w:br/>
            </w:r>
            <w:r>
              <w:rPr>
                <w:rFonts w:ascii="Times New Roman"/>
                <w:b w:val="false"/>
                <w:i w:val="false"/>
                <w:color w:val="000000"/>
                <w:sz w:val="20"/>
              </w:rPr>
              <w:t>Таласского районного маслихата</w:t>
            </w:r>
            <w:r>
              <w:br/>
            </w:r>
            <w:r>
              <w:rPr>
                <w:rFonts w:ascii="Times New Roman"/>
                <w:b w:val="false"/>
                <w:i w:val="false"/>
                <w:color w:val="000000"/>
                <w:sz w:val="20"/>
              </w:rPr>
              <w:t>от 23 ноября 2018 года №43-2</w:t>
            </w:r>
          </w:p>
        </w:tc>
      </w:tr>
    </w:tbl>
    <w:bookmarkStart w:name="z27" w:id="5"/>
    <w:p>
      <w:pPr>
        <w:spacing w:after="0"/>
        <w:ind w:left="0"/>
        <w:jc w:val="left"/>
      </w:pPr>
      <w:r>
        <w:rPr>
          <w:rFonts w:ascii="Times New Roman"/>
          <w:b/>
          <w:i w:val="false"/>
          <w:color w:val="000000"/>
        </w:rPr>
        <w:t xml:space="preserve"> Регламент собрания местного сообщества сельских округов Таласского района</w:t>
      </w:r>
    </w:p>
    <w:bookmarkEnd w:id="5"/>
    <w:bookmarkStart w:name="z28" w:id="6"/>
    <w:p>
      <w:pPr>
        <w:spacing w:after="0"/>
        <w:ind w:left="0"/>
        <w:jc w:val="left"/>
      </w:pPr>
      <w:r>
        <w:rPr>
          <w:rFonts w:ascii="Times New Roman"/>
          <w:b/>
          <w:i w:val="false"/>
          <w:color w:val="000000"/>
        </w:rPr>
        <w:t xml:space="preserve"> Глава 1. Общие положения</w:t>
      </w:r>
    </w:p>
    <w:bookmarkEnd w:id="6"/>
    <w:bookmarkStart w:name="z17" w:id="7"/>
    <w:p>
      <w:pPr>
        <w:spacing w:after="0"/>
        <w:ind w:left="0"/>
        <w:jc w:val="both"/>
      </w:pPr>
      <w:r>
        <w:rPr>
          <w:rFonts w:ascii="Times New Roman"/>
          <w:b w:val="false"/>
          <w:i w:val="false"/>
          <w:color w:val="ff0000"/>
          <w:sz w:val="28"/>
        </w:rPr>
        <w:t xml:space="preserve">
      Сноска. Регламент – в редакции решения Таласского района Жамбылской области от 28.12.2021 </w:t>
      </w:r>
      <w:r>
        <w:rPr>
          <w:rFonts w:ascii="Times New Roman"/>
          <w:b w:val="false"/>
          <w:i w:val="false"/>
          <w:color w:val="ff0000"/>
          <w:sz w:val="28"/>
        </w:rPr>
        <w:t>№ 18-7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End w:id="7"/>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сельских округов Таласского района (далее - 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О внесении изменений и дополнений в приказ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w:t>
      </w:r>
    </w:p>
    <w:bookmarkStart w:name="z18" w:id="8"/>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8"/>
    <w:bookmarkStart w:name="z19" w:id="9"/>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 территориальной единицы, в границах которой осуществляется местное самоуправление, формируются и функционируют его органы;</w:t>
      </w:r>
    </w:p>
    <w:bookmarkEnd w:id="9"/>
    <w:bookmarkStart w:name="z20" w:id="10"/>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0"/>
    <w:bookmarkStart w:name="z21" w:id="11"/>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 территориальной единицы;</w:t>
      </w:r>
    </w:p>
    <w:bookmarkEnd w:id="11"/>
    <w:bookmarkStart w:name="z22" w:id="12"/>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2"/>
    <w:bookmarkStart w:name="z23" w:id="13"/>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3"/>
    <w:p>
      <w:pPr>
        <w:spacing w:after="0"/>
        <w:ind w:left="0"/>
        <w:jc w:val="left"/>
      </w:pPr>
      <w:r>
        <w:rPr>
          <w:rFonts w:ascii="Times New Roman"/>
          <w:b/>
          <w:i w:val="false"/>
          <w:color w:val="000000"/>
        </w:rPr>
        <w:t xml:space="preserve"> Глава 2. Порядок проведения созыва собрания местного сообщества</w:t>
      </w:r>
    </w:p>
    <w:p>
      <w:pPr>
        <w:spacing w:after="0"/>
        <w:ind w:left="0"/>
        <w:jc w:val="both"/>
      </w:pPr>
      <w:r>
        <w:rPr>
          <w:rFonts w:ascii="Times New Roman"/>
          <w:b w:val="false"/>
          <w:i w:val="false"/>
          <w:color w:val="000000"/>
          <w:sz w:val="28"/>
        </w:rPr>
        <w:t>
      3. Собрание проводится по текущим вопросам местного значения:</w:t>
      </w:r>
    </w:p>
    <w:p>
      <w:pPr>
        <w:spacing w:after="0"/>
        <w:ind w:left="0"/>
        <w:jc w:val="both"/>
      </w:pPr>
      <w:r>
        <w:rPr>
          <w:rFonts w:ascii="Times New Roman"/>
          <w:b w:val="false"/>
          <w:i w:val="false"/>
          <w:color w:val="000000"/>
          <w:sz w:val="28"/>
        </w:rPr>
        <w:t>
      согласование корректировки бюджета города районного значения, села, поселка, сельского округа в случае неосвоения бюджетных средств в течение текущего финансового года и (или) перераспределения между бюджетными программами по итогам бюджетного мониторинга в объеме, не превышающем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согласование решений аппарата акима города районного значения, села, поселка, сельского округа по управлению коммунальной собственностью (коммунальной собственностью местного самоуправления) города районного значения, села, поселка, сельского округа;</w:t>
      </w:r>
    </w:p>
    <w:p>
      <w:pPr>
        <w:spacing w:after="0"/>
        <w:ind w:left="0"/>
        <w:jc w:val="both"/>
      </w:pPr>
      <w:r>
        <w:rPr>
          <w:rFonts w:ascii="Times New Roman"/>
          <w:b w:val="false"/>
          <w:i w:val="false"/>
          <w:color w:val="000000"/>
          <w:sz w:val="28"/>
        </w:rPr>
        <w:t>
      создание комиссии местного сообщества из числа участников собрания в целях мониторинга исполнения бюджета города районного значения, села, поселка,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районного значения, села, поселка,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города районного значения, села, поселка, сельского округа;</w:t>
      </w:r>
    </w:p>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а также объявление чрезвычайной ситуации природного и техногенного характера;</w:t>
      </w:r>
    </w:p>
    <w:p>
      <w:pPr>
        <w:spacing w:after="0"/>
        <w:ind w:left="0"/>
        <w:jc w:val="both"/>
      </w:pPr>
      <w:r>
        <w:rPr>
          <w:rFonts w:ascii="Times New Roman"/>
          <w:b w:val="false"/>
          <w:i w:val="false"/>
          <w:color w:val="000000"/>
          <w:sz w:val="28"/>
        </w:rPr>
        <w:t>
      согласование кандидатур, представленных акимом района (города областного значения) на должность акима города районного значения, села, поселка, сельского округа для дальнейшего внесения в соответствующую районную (городскую) избирательную комиссию для регистрации кандидатом в акимы города районного значения, села, поселка, сельского округа;</w:t>
      </w:r>
    </w:p>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формируется из числа кандидатов, допущенных сходом местного сообщества.</w:t>
      </w:r>
    </w:p>
    <w:p>
      <w:pPr>
        <w:spacing w:after="0"/>
        <w:ind w:left="0"/>
        <w:jc w:val="both"/>
      </w:pPr>
      <w:r>
        <w:rPr>
          <w:rFonts w:ascii="Times New Roman"/>
          <w:b w:val="false"/>
          <w:i w:val="false"/>
          <w:color w:val="000000"/>
          <w:sz w:val="28"/>
        </w:rPr>
        <w:t>
      При этом количество членов собрания местного сообщества, направленных сходом местного сообщества (далее – члены собрания), определяется в зависимости от общей численности населения города районного значения, села, поселка, сельского округа:</w:t>
      </w:r>
    </w:p>
    <w:p>
      <w:pPr>
        <w:spacing w:after="0"/>
        <w:ind w:left="0"/>
        <w:jc w:val="both"/>
      </w:pPr>
      <w:r>
        <w:rPr>
          <w:rFonts w:ascii="Times New Roman"/>
          <w:b w:val="false"/>
          <w:i w:val="false"/>
          <w:color w:val="000000"/>
          <w:sz w:val="28"/>
        </w:rPr>
        <w:t>
      1) до 10 тыс. населения - 5-10 членов собрания;</w:t>
      </w:r>
    </w:p>
    <w:p>
      <w:pPr>
        <w:spacing w:after="0"/>
        <w:ind w:left="0"/>
        <w:jc w:val="both"/>
      </w:pPr>
      <w:r>
        <w:rPr>
          <w:rFonts w:ascii="Times New Roman"/>
          <w:b w:val="false"/>
          <w:i w:val="false"/>
          <w:color w:val="000000"/>
          <w:sz w:val="28"/>
        </w:rPr>
        <w:t>
      2) 10-15 тыс. населения-11-15 членов собрания;</w:t>
      </w:r>
    </w:p>
    <w:p>
      <w:pPr>
        <w:spacing w:after="0"/>
        <w:ind w:left="0"/>
        <w:jc w:val="both"/>
      </w:pPr>
      <w:r>
        <w:rPr>
          <w:rFonts w:ascii="Times New Roman"/>
          <w:b w:val="false"/>
          <w:i w:val="false"/>
          <w:color w:val="000000"/>
          <w:sz w:val="28"/>
        </w:rPr>
        <w:t>
      3) 15-20 тыс. населения-16-20 членов собрания;</w:t>
      </w:r>
    </w:p>
    <w:p>
      <w:pPr>
        <w:spacing w:after="0"/>
        <w:ind w:left="0"/>
        <w:jc w:val="both"/>
      </w:pPr>
      <w:r>
        <w:rPr>
          <w:rFonts w:ascii="Times New Roman"/>
          <w:b w:val="false"/>
          <w:i w:val="false"/>
          <w:color w:val="000000"/>
          <w:sz w:val="28"/>
        </w:rPr>
        <w:t>
      4) более 20 тысяч населения – 21-25 членов собрания.</w:t>
      </w:r>
    </w:p>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численности их населения.</w:t>
      </w:r>
    </w:p>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направленного раздельными сходами местного сообщества с учетом положений пункта 3-2 настоящего Типового регламента.</w:t>
      </w:r>
    </w:p>
    <w:p>
      <w:pPr>
        <w:spacing w:after="0"/>
        <w:ind w:left="0"/>
        <w:jc w:val="both"/>
      </w:pPr>
      <w:r>
        <w:rPr>
          <w:rFonts w:ascii="Times New Roman"/>
          <w:b w:val="false"/>
          <w:i w:val="false"/>
          <w:color w:val="000000"/>
          <w:sz w:val="28"/>
        </w:rPr>
        <w:t>
      4. Собрание созывается и проводится акимами города районного значения, села, поселка, сельского округа самостоятельно либо по инициативе не менее десяти процентов членов собрания, но не реже одного раза в квартал.</w:t>
      </w:r>
    </w:p>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both"/>
      </w:pPr>
      <w:r>
        <w:rPr>
          <w:rFonts w:ascii="Times New Roman"/>
          <w:b w:val="false"/>
          <w:i w:val="false"/>
          <w:color w:val="000000"/>
          <w:sz w:val="28"/>
        </w:rPr>
        <w:t>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p>
      <w:pPr>
        <w:spacing w:after="0"/>
        <w:ind w:left="0"/>
        <w:jc w:val="both"/>
      </w:pPr>
      <w:r>
        <w:rPr>
          <w:rFonts w:ascii="Times New Roman"/>
          <w:b w:val="false"/>
          <w:i w:val="false"/>
          <w:color w:val="000000"/>
          <w:sz w:val="28"/>
        </w:rPr>
        <w:t>
      Аппарат акима по вопросам, вносимым на рассмотрение собрания, представляет необходимые материалы в письменном виде, в форме электронного документа (удостоверенного посредством электронной цифровой подписи) или электронную копию документов членам собрания и акиму не позднее, чем за пять календарных дней до созыва собрания.</w:t>
      </w:r>
    </w:p>
    <w:p>
      <w:pPr>
        <w:spacing w:after="0"/>
        <w:ind w:left="0"/>
        <w:jc w:val="both"/>
      </w:pPr>
      <w:r>
        <w:rPr>
          <w:rFonts w:ascii="Times New Roman"/>
          <w:b w:val="false"/>
          <w:i w:val="false"/>
          <w:color w:val="000000"/>
          <w:sz w:val="28"/>
        </w:rPr>
        <w:t>
      6.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p>
      <w:pPr>
        <w:spacing w:after="0"/>
        <w:ind w:left="0"/>
        <w:jc w:val="both"/>
      </w:pPr>
      <w:r>
        <w:rPr>
          <w:rFonts w:ascii="Times New Roman"/>
          <w:b w:val="false"/>
          <w:i w:val="false"/>
          <w:color w:val="000000"/>
          <w:sz w:val="28"/>
        </w:rPr>
        <w:t>
      7. Созыв собрания открывается акимом или уполномоченным им лицом.</w:t>
      </w:r>
    </w:p>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p>
      <w:pPr>
        <w:spacing w:after="0"/>
        <w:ind w:left="0"/>
        <w:jc w:val="both"/>
      </w:pPr>
      <w:r>
        <w:rPr>
          <w:rFonts w:ascii="Times New Roman"/>
          <w:b w:val="false"/>
          <w:i w:val="false"/>
          <w:color w:val="000000"/>
          <w:sz w:val="28"/>
        </w:rPr>
        <w:t>
      8. Повестка дня собрания формируется аппаратом акима на основе предложений, вносимых членами собрания, акимом соответствующей территории.</w:t>
      </w:r>
    </w:p>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p>
      <w:pPr>
        <w:spacing w:after="0"/>
        <w:ind w:left="0"/>
        <w:jc w:val="both"/>
      </w:pPr>
      <w:r>
        <w:rPr>
          <w:rFonts w:ascii="Times New Roman"/>
          <w:b w:val="false"/>
          <w:i w:val="false"/>
          <w:color w:val="000000"/>
          <w:sz w:val="28"/>
        </w:rPr>
        <w:t>
      9. На созыв собрания могут быть приглашены представители аппарата акима района (города областного значения),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(города областного значения), представители средств массовой информации и общественных объединений.</w:t>
      </w:r>
    </w:p>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both"/>
      </w:pPr>
      <w:r>
        <w:rPr>
          <w:rFonts w:ascii="Times New Roman"/>
          <w:b w:val="false"/>
          <w:i w:val="false"/>
          <w:color w:val="000000"/>
          <w:sz w:val="28"/>
        </w:rPr>
        <w:t>
      10. Регламент выступлений на созывах собраний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p>
      <w:pPr>
        <w:spacing w:after="0"/>
        <w:ind w:left="0"/>
        <w:jc w:val="left"/>
      </w:pPr>
      <w:r>
        <w:rPr>
          <w:rFonts w:ascii="Times New Roman"/>
          <w:b/>
          <w:i w:val="false"/>
          <w:color w:val="000000"/>
        </w:rPr>
        <w:t xml:space="preserve"> Глава 3. Порядок принятия решений собранием местного сообщества</w:t>
      </w:r>
    </w:p>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передается акиму сельского округа в течение двух рабочих дней со дня проведения собрания,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12.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p>
      <w:pPr>
        <w:spacing w:after="0"/>
        <w:ind w:left="0"/>
        <w:jc w:val="both"/>
      </w:pPr>
      <w:r>
        <w:rPr>
          <w:rFonts w:ascii="Times New Roman"/>
          <w:b w:val="false"/>
          <w:i w:val="false"/>
          <w:color w:val="000000"/>
          <w:sz w:val="28"/>
        </w:rPr>
        <w:t>
      13. В случае выражения акимом несогласия с решением собрания местного сообщества данные вопросы решаются путем повторного обсуждения в порядке, предусмотренном главой 2 настоящего Типового регламента. В случае невозможности разрешения вопросов, вызвавших несогласие акима сельского округа, вопрос решается вышестоящим акимом. Аким сельского округа в течение двух рабочих дней направляет в адрес вышестоящего акима и маслихата соответствующего района (города областного значения) протокол собрания местного сообщества после повторного обсуждения собранием местного сообщества вопросов, вызвавших разногласия. В течение пяти рабочих дней после предварительного обсуждения на ближайшем заседании соответствующего маслихата района (города областного значения) и его решения в порядке, предусмотренном статьей 11 Закона, решение принимает вышестоящий аким.</w:t>
      </w:r>
    </w:p>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собрания и одобренных акимом города районного значения, села, сельского округа.</w:t>
      </w:r>
    </w:p>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сельского округа через средства массовой информации или иными способами.</w:t>
      </w:r>
    </w:p>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Таласского района или вышестоящим руководителям должностных лиц ответственных за исполнение решений собрания.</w:t>
      </w:r>
    </w:p>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Таласского района или вышестоящим руководством соответствующих должностных лиц.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