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d33bb" w14:textId="b1d33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"Предоставление бесплатного питания отдельным категориям граждан, а также лицам, находящимся под опекой (попечительством) и патронатом, обучающимся и воспитанникам организаций технического и профессионального, послесреднего образования"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27 февраля 2018 года № 08/02. Зарегистрировано Департаментом юстиции Карагандинской области 19 марта 2018 года № 4656. Утратило силу постановлением акимата Карагандинской области от 26 марта 2020 года № 18/01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>акимата Карагандинской области от 26.03.2020 № 18/01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>Министра образования и науки Республики Казахстан от 7 августа 2017 года № 396 "Об утверждении стандарта государственной услуги "Предоставление бесплатного питания отдельным категориям граждан, а также лицам, находящимся под опекой (попечительством) и патронатом, обучающимся и воспитанникам организаций технического и профессионального, послесреднего и высшего образования" (зарегистрирован в Реестре государственной регистрации нормативных правовых актов за № 15744), акимат Карагандинской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к настоящему постановлению </w:t>
      </w:r>
      <w:r>
        <w:rPr>
          <w:rFonts w:ascii="Times New Roman"/>
          <w:b w:val="false"/>
          <w:i w:val="false"/>
          <w:color w:val="000000"/>
          <w:sz w:val="28"/>
        </w:rPr>
        <w:t xml:space="preserve">регламент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услуги "Предоставление бесплатного питания отдельным категориям граждан, а также лицам, находящимся под опекой (попечительством) и патронатом, обучающимся и воспитанникам организаций технического и профессионального, послесреднего образования".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области.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Карагандинской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Кошанов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"27" февраля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08/02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"Предоставление бесплатного питания отдельным категориям граждан, а также лицам, находящимся под опекой (попечительством) и патронатом, обучающимся и воспитанникам организаций технического и профессионального, послесреднего образования"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– в редакции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ff0000"/>
          <w:sz w:val="28"/>
        </w:rPr>
        <w:t>акимата Карагандинской области от 27.08.2019 № 51/02 (вводится в действие по истечении десяти календарных дней после дня его первого официального опубликования).</w:t>
      </w:r>
    </w:p>
    <w:bookmarkStart w:name="z1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оказывается организациями технического и профессионального, послесреднего образования (далее – услугодатель)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стандартом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бесплатного питания отдельным категориям граждан, а также лицам, находящимся под опекой (попечительством) и патронатом, обучающимся и воспитанникам организаций технического и профессионального, послесреднего и высшего образования" (далее – Стандарт), утвержденным приказом Министра образования и науки Республики Казахстан от 7 августа 2017 года № 396 "Об утверждении стандарта государственной услуги "Предоставление бесплатного питания отдельным категориям граждан, а также лицам, находящимся под опекой (попечительством) и патронатом, обучающимся и воспитанникам организаций технического и профессионального, послесреднего и высшего образования" (зарегистрирован в Реестре государственной регистрации нормативных правовых актов за № 15744).</w:t>
      </w:r>
    </w:p>
    <w:bookmarkEnd w:id="6"/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bookmarkEnd w:id="7"/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8"/>
    <w:bookmarkStart w:name="z2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некоммерческое акционерное общество "Государственная корпорация "Правительство для граждан" (далее – Государственная корпорация); </w:t>
      </w:r>
    </w:p>
    <w:bookmarkEnd w:id="9"/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веб-портал "электронного правительства" www.egov.kz (далее – портал).</w:t>
      </w:r>
    </w:p>
    <w:bookmarkEnd w:id="10"/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11"/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уведомление о предоставлении бесплатного питания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bookmarkEnd w:id="12"/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электронная/бумажная.</w:t>
      </w:r>
    </w:p>
    <w:bookmarkEnd w:id="13"/>
    <w:bookmarkStart w:name="z2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4"/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заявление с предоставлением необходимых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пункте 9 </w:t>
      </w:r>
      <w:r>
        <w:rPr>
          <w:rFonts w:ascii="Times New Roman"/>
          <w:b w:val="false"/>
          <w:i w:val="false"/>
          <w:color w:val="000000"/>
          <w:sz w:val="28"/>
        </w:rPr>
        <w:t>Стандарта.</w:t>
      </w:r>
    </w:p>
    <w:bookmarkEnd w:id="15"/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процедур (действий), входящих в состав процесса оказания государственной услуги, длительность выполнения, сроки осуществления:</w:t>
      </w:r>
    </w:p>
    <w:bookmarkEnd w:id="16"/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1 – прием и регистрация документов сотрудником канцелярии услугодателя, передача документов руководителю услугодателя – в течение 15 (пятнадцати) минут;</w:t>
      </w:r>
    </w:p>
    <w:bookmarkEnd w:id="17"/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2 – рассмотрение документов руководителем услугодателя, передача документов специалисту услугодателя – в течение 30 (тридцати) минут;</w:t>
      </w:r>
    </w:p>
    <w:bookmarkEnd w:id="18"/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3 – рассмотрение документов специалистом, на соответствие предъявляемым требованиям и подготовка результата оказания государственной услуги в течение – в течение 6 (шести) календарных дней;</w:t>
      </w:r>
    </w:p>
    <w:bookmarkEnd w:id="19"/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4 – подписание результата государственной услуги руководителем услугодателя – в течение 20 (двадцати) минут;</w:t>
      </w:r>
    </w:p>
    <w:bookmarkEnd w:id="20"/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5 – направление подписанного руководителем услугодателя результата оказания государственной услуги услугополучателю – в течение 1 (одного) календарного дня.</w:t>
      </w:r>
    </w:p>
    <w:bookmarkEnd w:id="21"/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Результатом процедуры (действия) по оказанию государственной услуги по действию 1, указанному в пункте 5 настоящего регламента, является передача документов руководителю услугодателя. Передача документов руководителю услугодателя является основанием для начала выполнения действия 2, указанного в пункте 5 настоящего регламента. Результатом действия 2, указанного в пункте 5 настоящего регламента, является рассмотрение документов руководителем услугодателя и передача документов специалисту услугодателя, которые являются основанием для начала выполнения действия 3, указанного в пункте 5 настоящего регламента. Результатом по действию 3, указанному в пункте 5 настоящего регламента является рассмотрение документов специалистом услугодателя на соответствие предъявляемым требованиям и подготовка результата оказания государственной услуги, которое является основанием для начала выполнения действия 4, указанного в пункте 5 настоящего регламента. Результатом по действию 4, указанному в пункте 5 настоящего регламента является подписание результата оказания государственной услуги руководителем услугодателя, который является основанием для начала выполнения действия 5 указанного в пункте 5 настоящего регламента. Результатом по действию 5, указанному в пункте 5 настоящего регламента является направление подписанного руководителем услугодателя результата оказания государственной услуги услугополучателю.</w:t>
      </w:r>
    </w:p>
    <w:bookmarkEnd w:id="22"/>
    <w:bookmarkStart w:name="z3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3"/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24"/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25"/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26"/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специалист услугодателя.</w:t>
      </w:r>
    </w:p>
    <w:bookmarkEnd w:id="27"/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(действия), необходимых для оказания государственной услуги:</w:t>
      </w:r>
    </w:p>
    <w:bookmarkEnd w:id="28"/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документов сотрудником канцелярии услугодателя, передача документов руководителю услугодателя – в течение 15 (пятнадцати) минут;</w:t>
      </w:r>
    </w:p>
    <w:bookmarkEnd w:id="29"/>
    <w:bookmarkStart w:name="z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документов руководителем услугодателя, передача документов специалисту услугодателя – в течение 30 (тридцати) минут;</w:t>
      </w:r>
    </w:p>
    <w:bookmarkEnd w:id="30"/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документов специалистом, на соответствие предъявляемым требованиям и подготовка результата оказания государственной услуги – в течение 6 (шести) календарных дней;</w:t>
      </w:r>
    </w:p>
    <w:bookmarkEnd w:id="31"/>
    <w:bookmarkStart w:name="z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результата государственной услуги руководителем – в течение 20 (двадцати) минут;</w:t>
      </w:r>
    </w:p>
    <w:bookmarkEnd w:id="32"/>
    <w:bookmarkStart w:name="z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направление подписанного руководителем услугодателя результата оказания государственной услуги услугополучателю – в течение 1 (одного) календарного дня.</w:t>
      </w:r>
    </w:p>
    <w:bookmarkEnd w:id="33"/>
    <w:bookmarkStart w:name="z47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34"/>
    <w:bookmarkStart w:name="z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в Государственную корпорацию с указанием каждой процедуры (действия):</w:t>
      </w:r>
    </w:p>
    <w:bookmarkEnd w:id="35"/>
    <w:bookmarkStart w:name="z4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государственной услуги подает необходимые документы и заявление оператору Государственной корпорации, которая осуществляется в операционном зале путем электронной очереди;</w:t>
      </w:r>
    </w:p>
    <w:bookmarkEnd w:id="36"/>
    <w:bookmarkStart w:name="z5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оператором Государственной корпорации в автоматизированное рабочее место интегрированной информационной системы Государственной корпорации логина и пароля (процесс авторизации) для оказания услуги;</w:t>
      </w:r>
    </w:p>
    <w:bookmarkEnd w:id="37"/>
    <w:bookmarkStart w:name="z5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процесс 2 – выбор оператором Государственной корпорации услуги, вывод на экран формы запроса для оказания услуги и ввод оператором Государственной корпорации данных услугополучателя, а также данных по доверенности представителя услугополучателя (при нотариально удостоверенной доверенности);</w:t>
      </w:r>
    </w:p>
    <w:bookmarkEnd w:id="38"/>
    <w:bookmarkStart w:name="z5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3 – направление запроса через шлюз электронного правительства (далее – ШЭП) в государственную базу данных физических лиц (далее – ГБД ФЛ) о данных услугополучателя, а также в единой нотариальной информационной системе (далее – ЕНИС) – о данных доверенности представителя услугополучателя;</w:t>
      </w:r>
    </w:p>
    <w:bookmarkEnd w:id="39"/>
    <w:bookmarkStart w:name="z5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условие 1 – проверка наличия данных услугополучателя в ГБД ФЛ и данных доверенности в ЕНИС;</w:t>
      </w:r>
    </w:p>
    <w:bookmarkEnd w:id="40"/>
    <w:bookmarkStart w:name="z5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4 – формирование сообщения о невозможности получения данных в связи с отсутствием данных услугополучателя в ГБД ФЛ и данных доверенности в ЕНИС;</w:t>
      </w:r>
    </w:p>
    <w:bookmarkEnd w:id="41"/>
    <w:bookmarkStart w:name="z5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5 – направление электронного документа (запроса услугополучателя), удостоверенного (подписанного) электронной цифровой подписью (далее – ЭЦП) оператора Государственной корпорации через ШЭП в автоматизированном рабочем месте регионального шлюза электронного правительства (далее – АРМ РШЭП);</w:t>
      </w:r>
    </w:p>
    <w:bookmarkEnd w:id="42"/>
    <w:bookmarkStart w:name="z5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6 – регистрация электронного документа в АРМ РШЭП;</w:t>
      </w:r>
    </w:p>
    <w:bookmarkEnd w:id="43"/>
    <w:bookmarkStart w:name="z5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условие 2 – проверка (обработка) услугодателем соответствия приложенных услугополучателем документов, указанных в Стандарте и основаниям для оказания услуги;</w:t>
      </w:r>
    </w:p>
    <w:bookmarkEnd w:id="44"/>
    <w:bookmarkStart w:name="z5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7 – формирование сообщения об отказе в запрашиваемой услуге в связи с имеющимися нарушениями в документах услугополучателя;</w:t>
      </w:r>
    </w:p>
    <w:bookmarkEnd w:id="45"/>
    <w:bookmarkStart w:name="z5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8 – получение услугополучателем через оператора Государственной корпорации результата услуги (решение), сформированного АРМ РШЭП.</w:t>
      </w:r>
    </w:p>
    <w:bookmarkEnd w:id="46"/>
    <w:bookmarkStart w:name="z6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порядка обращения через портал с указанием каждой процедуры (действия):</w:t>
      </w:r>
    </w:p>
    <w:bookmarkEnd w:id="47"/>
    <w:bookmarkStart w:name="z6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индивидуального идентификационного номера (далее – ИИН), а также пароля;</w:t>
      </w:r>
    </w:p>
    <w:bookmarkEnd w:id="48"/>
    <w:bookmarkStart w:name="z6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услугополучателем ИИН и пароля (процесс авторизации) на портале для получения услуги;</w:t>
      </w:r>
    </w:p>
    <w:bookmarkEnd w:id="49"/>
    <w:bookmarkStart w:name="z6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ИИН и пароль;</w:t>
      </w:r>
    </w:p>
    <w:bookmarkEnd w:id="50"/>
    <w:bookmarkStart w:name="z6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</w:p>
    <w:bookmarkEnd w:id="51"/>
    <w:bookmarkStart w:name="z6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виде, а также выбор услугополучателем регистрационного свидетельства ЭЦП для удостоверения (подписания) запроса;</w:t>
      </w:r>
    </w:p>
    <w:bookmarkEnd w:id="52"/>
    <w:bookmarkStart w:name="z6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ИИН, указанным в запросе и ИИН, указанным в регистрационном свидетельстве ЭЦП);</w:t>
      </w:r>
    </w:p>
    <w:bookmarkEnd w:id="53"/>
    <w:bookmarkStart w:name="z6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услуге в связи с неподтверждением подлинности ЭЦП услугополучателя;</w:t>
      </w:r>
    </w:p>
    <w:bookmarkEnd w:id="54"/>
    <w:bookmarkStart w:name="z6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направление электронного документа (запроса услугополучателя), удостоверенного (подписанного) ЭЦП услугополучателя через ШЭП в АРМ РШЭП для обработки запроса услугодателем;</w:t>
      </w:r>
    </w:p>
    <w:bookmarkEnd w:id="55"/>
    <w:bookmarkStart w:name="z6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условие 3 – проверка услугодателем соответствия приложенных услугополучателем документов и основаниям для оказания услуги;</w:t>
      </w:r>
    </w:p>
    <w:bookmarkEnd w:id="56"/>
    <w:bookmarkStart w:name="z7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6 – формирование сообщения об отказе в запрашиваемой услуге в связи с имеющимися нарушениями в документах услугополучателя;</w:t>
      </w:r>
    </w:p>
    <w:bookmarkEnd w:id="57"/>
    <w:bookmarkStart w:name="z7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7 – получение услугополучателем результата услуги (уведомление в форме электронного документа), сформированного АРМ РШЭП.</w:t>
      </w:r>
    </w:p>
    <w:bookmarkEnd w:id="58"/>
    <w:bookmarkStart w:name="z7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Функциональные взаимодействия информационных систем, задействованных при оказании государственной услуги через портал, приведены в диаграмме согласно приложению 1 к настоящему регламенту.</w:t>
      </w:r>
    </w:p>
    <w:bookmarkEnd w:id="59"/>
    <w:bookmarkStart w:name="z7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Подробное описание последовательности процедур (действий)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корпорацией и порядка использования информационных систем в процессе оказания государственной услуги отражается в справочнике бизнес–процессов согласно приложению 2 к настоящему регламенту.</w:t>
      </w:r>
    </w:p>
    <w:bookmarkEnd w:id="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"Предоставление бесплатного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питания отдельным категориям граждан, 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также лицам, находящимся под опекой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(попечительством) и патронатом,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обучающимся и воспитанникам организаций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и профессионального,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послесреднего образования"</w:t>
            </w:r>
          </w:p>
        </w:tc>
      </w:tr>
    </w:tbl>
    <w:bookmarkStart w:name="z83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портал</w:t>
      </w:r>
    </w:p>
    <w:bookmarkEnd w:id="61"/>
    <w:bookmarkStart w:name="z8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2"/>
    <w:p>
      <w:pPr>
        <w:spacing w:after="0"/>
        <w:ind w:left="0"/>
        <w:jc w:val="both"/>
      </w:pPr>
      <w:r>
        <w:drawing>
          <wp:inline distT="0" distB="0" distL="0" distR="0">
            <wp:extent cx="7797800" cy="3327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797800" cy="332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63"/>
    <w:bookmarkStart w:name="z8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4"/>
    <w:p>
      <w:pPr>
        <w:spacing w:after="0"/>
        <w:ind w:left="0"/>
        <w:jc w:val="both"/>
      </w:pPr>
      <w:r>
        <w:drawing>
          <wp:inline distT="0" distB="0" distL="0" distR="0">
            <wp:extent cx="7683500" cy="3213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83500" cy="321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"Предоставление бесплатного питания отдельным категориям граждан, а также лицам, находящимся под опекой (попечительством) и патронатом, обучающимся и воспитанникам организаций технического и профессионального, послесреднего образования"</w:t>
            </w:r>
          </w:p>
        </w:tc>
      </w:tr>
    </w:tbl>
    <w:bookmarkStart w:name="z90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бизнес–процессов оказания государственной услуги "Предоставление бесплатного питания отдельным категориям граждан, а также лицам, находящимся под опекой (попечительством) и патронатом, обучающимся и воспитанникам организаций технического и профессионального, послесреднего образования"</w:t>
      </w:r>
    </w:p>
    <w:bookmarkEnd w:id="65"/>
    <w:bookmarkStart w:name="z9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6"/>
    <w:p>
      <w:pPr>
        <w:spacing w:after="0"/>
        <w:ind w:left="0"/>
        <w:jc w:val="both"/>
      </w:pPr>
      <w:r>
        <w:drawing>
          <wp:inline distT="0" distB="0" distL="0" distR="0">
            <wp:extent cx="7810500" cy="5219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21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67"/>
    <w:bookmarkStart w:name="z9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8"/>
    <w:p>
      <w:pPr>
        <w:spacing w:after="0"/>
        <w:ind w:left="0"/>
        <w:jc w:val="both"/>
      </w:pPr>
      <w:r>
        <w:drawing>
          <wp:inline distT="0" distB="0" distL="0" distR="0">
            <wp:extent cx="7810500" cy="179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