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cfae" w14:textId="05ac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28 марта 2016 года № 402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12 декабря 2018 года № 1280. Зарегистрировано Департаментом юстиции Кызылординской области 14 декабря 2018 года № 6565.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номером 5485, опубликовано 26 мая 2016 года в информационно-правовой системе "Әділет", 12 мая 2016 года в газетах "Кызылординские вести" и "Сыр бойы")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 акимата Кызылординской области от "12" декабря 2018 года № 1280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"28" марта 2016 года № 402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сельского хозяйства Кызылординской области" (далее – услугодатель).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 либо мотивированный ответ об отказе в оказании государственной услуги по основаниям (далее – мотивированный отказ),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услуг по подаче воды сельскохозяйственным товаропроизводителям", утвержденного Приказом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за номером 12933) (далее - стандарт).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о результатах рассмотрения заявки на получение субсидий на бумажном носителе с решением о назначении/не назначении субсидии, подписанное уполномоченным лицом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с Государственной корпорацией в процессе оказания государственной услуги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документы, выдает услугополучателю либо его представителю расписку о приеме соответствующих документов либо в случае предоставления услугополучателем либо его представителем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выдает услугополучателю либо его представителю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минут). Результат процедуры (действия): выдача услугополучателю либо его представителю расписки о приеме либо об отказе в приеме документов (не более пятнадцати минут);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регистрирует документы (не более пятнадцати минут). Результат процедуры (действия): предоставление документов руководителю услугодателя;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рассматривает заявку на соответствие условиям получения субсидий,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утвержденных приказом Министра сельского хозяйства Республики Казахстан от 30 июня 2015 года № 6-3/597 (далее - Правила), в случае соответствия заявки условиям Правил, исполнитель услугодателя формирует ведомость на оплату бюджетных субсидий и обеспечивает его предоставление в территориальное подразделение казначейства (далее – казначейство) и подготавливает уведомление о результатах рассмотрения заявки на получение субсидий (далее – уведомление) (в течение трех рабочих дней). Результат процедуры (действия): предоставление платежных документов в казначейство и уведомления руководителю услогодателя;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уведомление (не более одного часа). Результат процедуры (действия): направление уведомления сотруднику канцелярии услугодателя;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направляет уведомление в Государственную корпорацию (не более одного часа). Результат процедуры (действия): направление уведомления в Государственную корпорацию;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уведомление услугополучателю либо его представителю (не более пятнадцати минут). Результат процедуры (действия): выдача уведомления услугополучателю либо его представителю.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исполнитель услугодателя.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стоимости услуг по подачеводы сельскохозяйственным товаропроизводителям"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