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7d3d" w14:textId="6227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Шаган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201. Зарегистрировано Департаментом юстиции Кызылординской области 4 июля 2018 года № 6366.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Шаган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№201</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Шаган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Шаган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Шаган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Шаган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