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968f" w14:textId="30c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05 февраля 2018 года № 17/142. Зарегистрировано Департаментом юстиции Мангистауской области 28 февраля 2018 года № 3534.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 - правовой системе "Әділет" 14 января 2014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11745).;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подпункта 4)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новой редакции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29 августа - День отказа от всемирного ядерного оружия: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относящимся к пострадавшим вследствие ядерных испытаний на Семипалатинском испытательном ядерном полигоне в случае предъявления удостоверения, подтверждающего право на льготы и компенcаций - 10 (десять) месячных расчетных показателей.";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 следующего содержания: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онкологическим больным и больным, выписанным из специализированной и противотуберкулезной медицинских организации, заразившимся вирусом иммунодефицита при отсутствии государственной пенсий или пособий, без учета доходов - в размере 26 (двадцать шесть) месячных расчетных показателей, один раз в год;";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 следующего содержания: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"студентам, обучающимся по очной форме, для получения академической степени бакалавра в высших учебных заведениях Республики Казахстан или интернатуре высших медицинских учебных заведений (кроме специальности "Стоматология") по запросу государственных учреждений района в целях обеспечения квалифицированными специалистами в области здравохранения, образования, агропромышленного комплекса, социального обеспечения, культуры, спорта и туризма;";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восьмым абзацем следующего содержания: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гранты за счет средств местного бюджета присуждаются на конкурсной основе студентам, принятым на основании гранта акима области, обучающимся по очной форме с учетом потребности региона в кадрах для обучения в высших учебных заведениях по конкретным специальностям в соответствии с баллами сертификатов по результатам единого национального тестирования или комплексного тестирования абитуриентов согласно очередности специальностей, заявленных абитуриентами, с выдачей свидетельства о присуждении образовательного гранта.".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 внесенным решением Тупкараганского районного маслихата Мангистауской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48/356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А.Беришбаева).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М.Шырақбай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Г.Беришбаева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