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3219" w14:textId="3c93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23 ноября 2015 года № 503 "Об утверждении регламента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8 июня 2018 года № 272. Зарегистрировано Департаментом юстиции Костанайской области 27 июня 2018 года № 7904. Утратило силу постановлением акимата Костанайской области от 13 января 2020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23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503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(зарегистрировано в Реестре государственной регистрации нормативных правовых актов под № 6062, опубликовано 26 декабря 2015 года в газете "Қостанай таңы")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503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(далее – государственная услуга) оказывается местным исполнительным органом области (государственным учреждением "Управление природных ресурсов и регулирования природопользования акимата Костанайской области") (далее – услугодатель).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письмо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19-1/422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регулирования использования водного фонда" (зарегистрирован в Реестре государственной регистрации нормативных правовых актов под № 11765) (далее – Стандарт).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Государственную корпорацию, длительность обработки запроса услугополучателя: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для получения государственной услуги обращается в Государственную корпорацию, работник Государственной корпорации проверяет правильность заполнения заявления, и полноту представленных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документов), 3 (три) минуты.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работник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2 (две) минуты.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документов,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регистрирует заявление и выдает услугополучателю расписку о приеме соответствующего заявления, 5 (пять) минут;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подготавливает пакет документов и направляет их услугодателю через курьерскую или иную уполномоченную на это связь, 1 (один) день.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не входит в срок оказания государственной услуги;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рассматривает заявление, подготавливает и направляет результат оказания государственной услуги в Государственную корпорацию, при этом результат оказания государственной услуги предоставляется в Государственную корпорацию не позднее, чем за день до истечения срока оказания государственной услуги, 29 (двадцать девять) календарных дней;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корпорации, на основании расписки, при предъявлении документа, удостоверяющего личность гражданина (либо его представителя по доверенности, юридическому лицу – документа, подтверждающего полномочия), выдает результат оказания государственной услуги услугополучателю, 5 (пять) минут.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веб-портал "электронного правительства" не оказывается.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подземных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питьевого качества для целей,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связанных с питьевым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хозяйственно-бытовым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территориях, где отсутствуют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поверхностные водные объекты,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имеются достаточные запасы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подземных вод питьевого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качества"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68961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