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1148" w14:textId="8931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продуктивности и качества продукции аквакультуры (рыбоводства)"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11 сентября 2018 года № 317/5. Зарегистрировано Департаментом юстиции Павлодарской области 8 октября 2018 года № 6077.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Павлодарской области от 11 сентября 2018 года № 317/5. Зарегистрировано Департаментом юстиции Павлодарской области 8 октября 2018 года № 6077.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продуктивности и качества продукции аквакультуры (рыбоводства)".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Махажанова Д. 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2018 года № 317/5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</w:t>
      </w:r>
      <w:r>
        <w:br/>
      </w:r>
      <w:r>
        <w:rPr>
          <w:rFonts w:ascii="Times New Roman"/>
          <w:b/>
          <w:i w:val="false"/>
          <w:color w:val="000000"/>
        </w:rPr>
        <w:t>продуктивности и качества продукции аквакультуры (рыбоводства)"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23.05.2019 </w:t>
      </w:r>
      <w:r>
        <w:rPr>
          <w:rFonts w:ascii="Times New Roman"/>
          <w:b w:val="false"/>
          <w:i w:val="false"/>
          <w:color w:val="ff0000"/>
          <w:sz w:val="28"/>
        </w:rPr>
        <w:t>№ 162/2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продуктивности и качества продукции аквакультуры (рыбоводства)" (далее – государственная услуга) оказывается государственным учреждением "Управление сельского хозяйства Павлодарской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повышения продуктивности и качества продукции аквакультуры (рыбоводства)",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 февраля 2018 года № 63 (далее –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 Данное уведомление становится доступным в Личном кабинете услугополучателя в информационной системе субсидирования.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на портал в форме электронного документа, удостоверенного электронной цифровой подписью (далее – ЭЦП), заявки для получения субсидий на повышение продуктивности и качества продукции аквакультуры (рыбоводства),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соответствующее уведомление в Личном кабинете услугополучателя в информационной системе субсидирования о принятии запроса для оказания государственной услуги.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подтверждает принятие заявки услугополучателя путем подписания с использованием ЭЦП соответствующего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заявки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платежное поручение и направляет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дает услугополучателю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платежное поручение и направляет в отдел финансирования сельского хозяйства и государственных закупок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 направляет платежное поручение в территориальное подразделение казначейства к оплате для перечисления причитающихся субсидий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направляет результат оказания государственной услуги услугополучателю – 1 (один) час.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представленные документы, подписать и направить платежное поручение руководителю услугодателя либо дать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платежное поручение и направить в отдел финансирования сельского хозяйства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платежное поручение в территориальное подразделение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услугополучателю результат оказания государственной услуги.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Государственную корпорацию "Правительство для граждан" не оказывается.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БИН,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БИН,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запросе, и ИИН и (или) 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назначении субсидии в личный кабинет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(рыбоводства)"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при оказании государственной услуги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1940"/>
        <w:gridCol w:w="5083"/>
        <w:gridCol w:w="1551"/>
        <w:gridCol w:w="1991"/>
        <w:gridCol w:w="120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сельского хозяйства и государственных закупок услугодателя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принятия заявки услугополучателя путем подписания с использованием ЭЦП соответствующего уведомления. При соответствии заявки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формирование платежного поручения и направление руководителю услугодателя на подпись;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мотивированный ответ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платежного поручения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 к оплате для перечисления причитающихся субсидий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подпись руководителю услугодателя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отдел финансирования сельского хозяйства и государственных закупок услугодателя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час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(рыбоводства)"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2954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(рыбоводства)"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повышения продуктивности и качества продукции аквакультуры (рыбоводства)"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