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294d" w14:textId="42f2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3 апреля 2018 года № 58/4. Зарегистрировано Департаментом юстиции Павлодарской области 19 апреля 2018 года № 5957.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24 февраля 2017 года № 25/2 "Об утверждении методики оценки деятельности административных государственных служащих корпуса "Б" исполнительных органов акимата Майского района" (зарегистрировано в Реестре государственной регистрации нормативных правовых актов за № 5428, опубликованное 8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2018 года № 58/4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Майского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Майского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Майского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по управлению персоналом аппарата акима Майского района либо в случае ее отсутствия – иное структурное подразделение (лицо), на которое возложено исполнение обязанностей отдела по управлению персоналом (кадровой службой) (далее – отдел по управлению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распоряжением акима Майского района.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Майского района Павлодарской области от 14.03.2022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управления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управления персоналом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управления персоналом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отдела управления персоналом.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по управлению персоналом и двумя другими служащими государственного органа.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40 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акимата Майского района Павлодарской области от 14.03.2022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- акимата Майского района Павлодарской области от 14.03.2022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Неэффективно организует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