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7e6a" w14:textId="16e7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Щербактинского района</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22 июня 2018 года № 136/40. Зарегистрировано Департаментом юстиции Павлодарской области 5 июля 2018 года № 6006.</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Щербактинский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Щербактинского района (далее - Регламент).</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за исключением подпунктов 1) - 6) пункта 4 Регламента, которые вводятся в действие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июня 2018 года № 136/40</w:t>
            </w:r>
          </w:p>
        </w:tc>
      </w:tr>
    </w:tbl>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Регламент собрания местного сообщества сельских округов Щербактинского района</w:t>
      </w:r>
    </w:p>
    <w:bookmarkEnd w:id="4"/>
    <w:p>
      <w:pPr>
        <w:spacing w:after="0"/>
        <w:ind w:left="0"/>
        <w:jc w:val="both"/>
      </w:pPr>
      <w:r>
        <w:rPr>
          <w:rFonts w:ascii="Times New Roman"/>
          <w:b w:val="false"/>
          <w:i w:val="false"/>
          <w:color w:val="ff0000"/>
          <w:sz w:val="28"/>
        </w:rPr>
        <w:t xml:space="preserve">
      Сноска. Регламент в редакции решения Щербактинского районного маслихата Павлодарской области от 05.02.2024 </w:t>
      </w:r>
      <w:r>
        <w:rPr>
          <w:rFonts w:ascii="Times New Roman"/>
          <w:b w:val="false"/>
          <w:i w:val="false"/>
          <w:color w:val="ff0000"/>
          <w:sz w:val="28"/>
        </w:rPr>
        <w:t>№ 67/20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Start w:name="z7"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Щербактинского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Типовым регламентом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5"/>
    <w:bookmarkStart w:name="z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7"/>
    <w:p>
      <w:pPr>
        <w:spacing w:after="0"/>
        <w:ind w:left="0"/>
        <w:jc w:val="both"/>
      </w:pPr>
      <w:r>
        <w:rPr>
          <w:rFonts w:ascii="Times New Roman"/>
          <w:b w:val="false"/>
          <w:i w:val="false"/>
          <w:color w:val="000000"/>
          <w:sz w:val="28"/>
        </w:rPr>
        <w:t>
      3. Регламент собрания утверждается маслихатом района.</w:t>
      </w:r>
    </w:p>
    <w:bookmarkEnd w:id="7"/>
    <w:bookmarkStart w:name="z10"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2"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проведения созыва собрания местного сообщества</w:t>
      </w:r>
    </w:p>
    <w:bookmarkEnd w:id="11"/>
    <w:bookmarkStart w:name="z14"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5" w:id="1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7"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8"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9"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0" w:id="1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принятия решений собранием местного сообщества</w:t>
      </w:r>
    </w:p>
    <w:bookmarkEnd w:id="20"/>
    <w:bookmarkStart w:name="z23"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w:t>
      </w:r>
    </w:p>
    <w:bookmarkStart w:name="z24"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5"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4"/>
    <w:bookmarkStart w:name="z27"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Контроль за исполнением решений собрания местного сообщества</w:t>
      </w:r>
    </w:p>
    <w:bookmarkEnd w:id="26"/>
    <w:bookmarkStart w:name="z29"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0"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