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c51" w14:textId="66f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16 ноября 2018 года № 310. Зарегистрировано Департаментом юстиции Туркестанской области 23 ноября 2018 года № 4803.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Нукенова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Премьер–Министра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формирует заявку (переводную заявку)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(переводной заявки) на рассмотрение (далее – заявка). Результат процедуры (действия): электронное извещение о поступлении заявки на рассмотрение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момента формирования услугодателем платежных поручений выявлено наличие несоответствия данных в зарегистрированной заявке, услугополучатель вправе отозвать заявку с указанием причины отзыва;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путем подписания с использованием ЭЦП соответствующего уведомления подтверждает принятие заявки в течение одного рабочего дня. Результат процедуры (действия): отображение уведомления о принятии заявки услугодателем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Планом Финансирования формирует в информационной системе субсидирования платежное поручение на выплату субсидии, загружаемое в информационную систему "Казначейство-Клиент", направляет в "личный кабинет" услугополучателя уведомление о перечислении субсидии,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направляет в "личный кабинет" услугополучателя уведомление об отказе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течение двух рабочих дней). Результат процедуры (действия): направление уведомление о перечислении субсидии или мотивированный отказ в "личный кабинет" услугополучателя.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